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南海区建筑企业资质晋升奖励申请表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单位（盖章）：                 日期：   年  月  日</w:t>
      </w:r>
    </w:p>
    <w:tbl>
      <w:tblPr>
        <w:tblStyle w:val="4"/>
        <w:tblW w:w="8817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100"/>
        <w:gridCol w:w="285"/>
        <w:gridCol w:w="825"/>
        <w:gridCol w:w="41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账号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企业资质（主项）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资质晋升情况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我单位在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月由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资质晋升为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资质。我单位对申请材料实质内容的真实性负责，如有任何虚假，受理机关可终止办理；如因虚假材料引致法律责任，概由我单位承担。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法定代表人签名：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7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申请奖励金额     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7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</w:trPr>
        <w:tc>
          <w:tcPr>
            <w:tcW w:w="881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区住建部门审核意见：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年    月    日（盖章）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94D82"/>
    <w:rsid w:val="02364AA4"/>
    <w:rsid w:val="36F94D82"/>
    <w:rsid w:val="6C885CBC"/>
    <w:rsid w:val="77E14657"/>
    <w:rsid w:val="7ABC42B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2017-08-24T00:43:00Z</dcterms:created>
  <dc:creator>未定义</dc:creator>
  <cp:lastModifiedBy>区健勇</cp:lastModifiedBy>
  <dcterms:modified xsi:type="dcterms:W3CDTF">2017-09-01T02:40:54Z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