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6"/>
        </w:rPr>
      </w:pPr>
      <w:r>
        <w:rPr>
          <w:rFonts w:hint="eastAsia"/>
          <w:b/>
          <w:color w:val="FF0000"/>
          <w:sz w:val="60"/>
          <w:szCs w:val="60"/>
        </w:rPr>
        <w:t>佛山市南海区建筑业协会文件</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sz w:val="26"/>
        </w:rPr>
      </w:pPr>
      <w:r>
        <w:rPr>
          <w:rFonts w:hint="eastAsia"/>
          <w:sz w:val="26"/>
        </w:rPr>
        <w:t>南建协【201</w:t>
      </w:r>
      <w:r>
        <w:rPr>
          <w:rFonts w:hint="eastAsia"/>
          <w:sz w:val="26"/>
          <w:lang w:val="en-US" w:eastAsia="zh-CN"/>
        </w:rPr>
        <w:t>9</w:t>
      </w:r>
      <w:r>
        <w:rPr>
          <w:rFonts w:hint="eastAsia"/>
          <w:sz w:val="26"/>
        </w:rPr>
        <w:t>】</w:t>
      </w:r>
      <w:r>
        <w:rPr>
          <w:rFonts w:hint="eastAsia"/>
          <w:sz w:val="26"/>
          <w:lang w:val="en-US" w:eastAsia="zh-CN"/>
        </w:rPr>
        <w:t>9</w:t>
      </w:r>
      <w:r>
        <w:rPr>
          <w:rFonts w:hint="eastAsia"/>
          <w:sz w:val="26"/>
        </w:rPr>
        <w:t>号</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sz w:val="35"/>
        </w:rPr>
      </w:pPr>
      <w:r>
        <w:rPr>
          <w:sz w:val="35"/>
        </w:rPr>
        <mc:AlternateContent>
          <mc:Choice Requires="wpg">
            <w:drawing>
              <wp:anchor distT="0" distB="0" distL="114300" distR="114300" simplePos="0" relativeHeight="251658240" behindDoc="0" locked="0" layoutInCell="1" allowOverlap="1">
                <wp:simplePos x="0" y="0"/>
                <wp:positionH relativeFrom="column">
                  <wp:posOffset>-220980</wp:posOffset>
                </wp:positionH>
                <wp:positionV relativeFrom="paragraph">
                  <wp:posOffset>93345</wp:posOffset>
                </wp:positionV>
                <wp:extent cx="5783580" cy="297180"/>
                <wp:effectExtent l="0" t="15240" r="7620" b="22860"/>
                <wp:wrapNone/>
                <wp:docPr id="4" name="组合 4"/>
                <wp:cNvGraphicFramePr/>
                <a:graphic xmlns:a="http://schemas.openxmlformats.org/drawingml/2006/main">
                  <a:graphicData uri="http://schemas.microsoft.com/office/word/2010/wordprocessingGroup">
                    <wpg:wgp>
                      <wpg:cNvGrpSpPr/>
                      <wpg:grpSpPr>
                        <a:xfrm>
                          <a:off x="0" y="0"/>
                          <a:ext cx="5783580" cy="297180"/>
                          <a:chOff x="6635" y="2790"/>
                          <a:chExt cx="9108" cy="468"/>
                        </a:xfrm>
                      </wpg:grpSpPr>
                      <wps:wsp>
                        <wps:cNvPr id="1" name="直接连接符 1"/>
                        <wps:cNvCnPr/>
                        <wps:spPr>
                          <a:xfrm>
                            <a:off x="6635" y="3102"/>
                            <a:ext cx="3960" cy="0"/>
                          </a:xfrm>
                          <a:prstGeom prst="line">
                            <a:avLst/>
                          </a:prstGeom>
                          <a:ln w="19050" cap="flat" cmpd="sng">
                            <a:solidFill>
                              <a:srgbClr val="FF0000"/>
                            </a:solidFill>
                            <a:prstDash val="solid"/>
                            <a:headEnd type="none" w="med" len="med"/>
                            <a:tailEnd type="none" w="med" len="med"/>
                          </a:ln>
                        </wps:spPr>
                        <wps:bodyPr upright="1"/>
                      </wps:wsp>
                      <wps:wsp>
                        <wps:cNvPr id="2" name="五角星 2"/>
                        <wps:cNvSpPr/>
                        <wps:spPr>
                          <a:xfrm>
                            <a:off x="10943" y="2790"/>
                            <a:ext cx="508" cy="468"/>
                          </a:xfrm>
                          <a:prstGeom prst="star5">
                            <a:avLst/>
                          </a:prstGeom>
                          <a:solidFill>
                            <a:srgbClr val="FF0000"/>
                          </a:solidFill>
                          <a:ln w="9525" cap="flat" cmpd="sng">
                            <a:solidFill>
                              <a:srgbClr val="FF0000"/>
                            </a:solidFill>
                            <a:prstDash val="solid"/>
                            <a:miter/>
                            <a:headEnd type="none" w="med" len="med"/>
                            <a:tailEnd type="none" w="med" len="med"/>
                          </a:ln>
                        </wps:spPr>
                        <wps:bodyPr upright="1"/>
                      </wps:wsp>
                      <wps:wsp>
                        <wps:cNvPr id="3" name="直接连接符 3"/>
                        <wps:cNvCnPr/>
                        <wps:spPr>
                          <a:xfrm>
                            <a:off x="11783" y="3102"/>
                            <a:ext cx="3960" cy="0"/>
                          </a:xfrm>
                          <a:prstGeom prst="line">
                            <a:avLst/>
                          </a:prstGeom>
                          <a:ln w="1905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7.4pt;margin-top:7.35pt;height:23.4pt;width:455.4pt;z-index:251658240;mso-width-relative:page;mso-height-relative:page;" coordorigin="6635,2790" coordsize="9108,468" o:gfxdata="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ODfDQ&#10;2QAAAAkBAAAPAAAAAAAAAAEAIAAAACIAAABkcnMvZG93bnJldi54bWxQSwECFAAUAAAACACHTuJA&#10;a6+7T8sCAAAYCQAADgAAAAAAAAABACAAAAAoAQAAZHJzL2Uyb0RvYy54bWxQSwUGAAAAAAYABgBZ&#10;AQAAZQYAAAAA&#10;">
                <o:lock v:ext="edit" aspectratio="f"/>
                <v:line id="_x0000_s1026" o:spid="_x0000_s1026" o:spt="20" style="position:absolute;left:6635;top:3102;height:0;width:3960;" filled="f" stroked="t" coordsize="21600,21600" o:gfxdata="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TxBKugAAANoA&#10;AAAPAAAAAAAAAAEAIAAAACIAAABkcnMvZG93bnJldi54bWxQSwECFAAUAAAACACHTuJAMy8FnjsA&#10;AAA5AAAAEAAAAAAAAAABACAAAAAJAQAAZHJzL3NoYXBleG1sLnhtbFBLBQYAAAAABgAGAFsBAACz&#10;AwAAAAA=&#10;">
                  <v:fill on="f" focussize="0,0"/>
                  <v:stroke weight="1.5pt" color="#FF0000" joinstyle="round"/>
                  <v:imagedata o:title=""/>
                  <o:lock v:ext="edit" aspectratio="f"/>
                </v:line>
                <v:shape id="_x0000_s1026" o:spid="_x0000_s1026" style="position:absolute;left:10943;top:2790;height:468;width:508;" fillcolor="#FF0000" filled="t" stroked="t" coordsize="508,468" o:gfxdata="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7Zw89twAAANoAAAAP&#10;AAAAAAAAAAEAIAAAACIAAABkcnMvZG93bnJldi54bWxQSwECFAAUAAAACACHTuJAMy8FnjsAAAA5&#10;AAAAEAAAAAAAAAABACAAAAAGAQAAZHJzL3NoYXBleG1sLnhtbFBLBQYAAAAABgAGAFsBAACwAwAA&#10;AAA=&#10;" path="m0,178l194,178,254,0,313,178,507,178,351,289,410,467,254,357,97,467,156,289xe">
                  <v:path o:connectlocs="254,0;0,178;97,467;410,467;507,178" o:connectangles="247,164,82,82,0"/>
                  <v:fill on="t" focussize="0,0"/>
                  <v:stroke color="#FF0000" joinstyle="miter"/>
                  <v:imagedata o:title=""/>
                  <o:lock v:ext="edit" aspectratio="f"/>
                </v:shape>
                <v:line id="_x0000_s1026" o:spid="_x0000_s1026" o:spt="20" style="position:absolute;left:11783;top:3102;height:0;width:3960;" filled="f" stroked="t" coordsize="21600,21600" o:gfxdata="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0SumvQAA&#10;ANoAAAAPAAAAAAAAAAEAIAAAACIAAABkcnMvZG93bnJldi54bWxQSwECFAAUAAAACACHTuJAMy8F&#10;njsAAAA5AAAAEAAAAAAAAAABACAAAAAMAQAAZHJzL3NoYXBleG1sLnhtbFBLBQYAAAAABgAGAFsB&#10;AAC2AwAAAAA=&#10;">
                  <v:fill on="f" focussize="0,0"/>
                  <v:stroke weight="1.5pt" color="#FF0000" joinstyle="round"/>
                  <v:imagedata o:title=""/>
                  <o:lock v:ext="edit" aspectratio="f"/>
                </v:line>
              </v:group>
            </w:pict>
          </mc:Fallback>
        </mc:AlternateContent>
      </w:r>
    </w:p>
    <w:p>
      <w:pPr>
        <w:pStyle w:val="2"/>
        <w:rPr>
          <w:rFonts w:hint="eastAsia"/>
          <w:lang w:eastAsia="zh-CN"/>
        </w:rPr>
      </w:pPr>
    </w:p>
    <w:p>
      <w:pPr>
        <w:adjustRightInd w:val="0"/>
        <w:spacing w:line="312" w:lineRule="atLeast"/>
        <w:jc w:val="center"/>
        <w:textAlignment w:val="baseline"/>
        <w:rPr>
          <w:rFonts w:hint="eastAsia" w:ascii="方正小标宋简体" w:hAnsi="方正小标宋简体" w:eastAsia="方正小标宋简体"/>
          <w:b/>
          <w:bCs/>
          <w:color w:val="000000"/>
          <w:kern w:val="0"/>
          <w:sz w:val="44"/>
          <w:szCs w:val="22"/>
          <w:lang w:eastAsia="zh-CN"/>
        </w:rPr>
      </w:pPr>
      <w:r>
        <w:rPr>
          <w:rFonts w:hint="eastAsia" w:ascii="方正小标宋简体" w:hAnsi="方正小标宋简体" w:eastAsia="方正小标宋简体" w:cs="Times New Roman"/>
          <w:b/>
          <w:bCs/>
          <w:color w:val="000000"/>
          <w:kern w:val="0"/>
          <w:sz w:val="44"/>
          <w:szCs w:val="22"/>
          <w:lang w:val="en-US" w:eastAsia="zh-CN"/>
        </w:rPr>
        <w:t>关于开展2018年度</w:t>
      </w:r>
      <w:r>
        <w:rPr>
          <w:rFonts w:hint="eastAsia" w:ascii="方正小标宋简体" w:hAnsi="方正小标宋简体" w:eastAsia="方正小标宋简体"/>
          <w:b/>
          <w:bCs/>
          <w:color w:val="000000"/>
          <w:kern w:val="0"/>
          <w:sz w:val="44"/>
          <w:szCs w:val="22"/>
        </w:rPr>
        <w:t>南海区</w:t>
      </w:r>
      <w:r>
        <w:rPr>
          <w:rFonts w:hint="eastAsia" w:ascii="方正小标宋简体" w:hAnsi="方正小标宋简体" w:eastAsia="方正小标宋简体"/>
          <w:b/>
          <w:bCs/>
          <w:color w:val="000000"/>
          <w:kern w:val="0"/>
          <w:sz w:val="44"/>
          <w:szCs w:val="22"/>
          <w:lang w:eastAsia="zh-CN"/>
        </w:rPr>
        <w:t>建筑行业先进</w:t>
      </w:r>
    </w:p>
    <w:p>
      <w:pPr>
        <w:adjustRightInd w:val="0"/>
        <w:spacing w:line="312" w:lineRule="atLeast"/>
        <w:jc w:val="center"/>
        <w:textAlignment w:val="baseline"/>
        <w:rPr>
          <w:rFonts w:hint="eastAsia" w:ascii="方正小标宋简体" w:hAnsi="方正小标宋简体" w:eastAsia="方正小标宋简体" w:cs="Times New Roman"/>
          <w:b/>
          <w:bCs/>
          <w:color w:val="000000"/>
          <w:kern w:val="0"/>
          <w:sz w:val="44"/>
          <w:szCs w:val="22"/>
          <w:lang w:val="en-US" w:eastAsia="zh-CN"/>
        </w:rPr>
      </w:pPr>
      <w:r>
        <w:rPr>
          <w:rFonts w:hint="eastAsia" w:ascii="方正小标宋简体" w:hAnsi="方正小标宋简体" w:eastAsia="方正小标宋简体"/>
          <w:b/>
          <w:bCs/>
          <w:color w:val="000000"/>
          <w:kern w:val="0"/>
          <w:sz w:val="44"/>
          <w:szCs w:val="22"/>
          <w:lang w:eastAsia="zh-CN"/>
        </w:rPr>
        <w:t>企业评选活动</w:t>
      </w:r>
      <w:r>
        <w:rPr>
          <w:rFonts w:hint="eastAsia" w:ascii="方正小标宋简体" w:hAnsi="方正小标宋简体" w:eastAsia="方正小标宋简体" w:cs="Times New Roman"/>
          <w:b/>
          <w:bCs/>
          <w:color w:val="000000"/>
          <w:kern w:val="0"/>
          <w:sz w:val="44"/>
          <w:szCs w:val="22"/>
          <w:lang w:val="en-US" w:eastAsia="zh-CN"/>
        </w:rPr>
        <w:t>的通知</w:t>
      </w:r>
    </w:p>
    <w:p>
      <w:pPr>
        <w:jc w:val="center"/>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t xml:space="preserve">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各有关单位：</w:t>
      </w:r>
    </w:p>
    <w:p>
      <w:pPr>
        <w:keepNext w:val="0"/>
        <w:keepLines w:val="0"/>
        <w:pageBreakBefore w:val="0"/>
        <w:widowControl w:val="0"/>
        <w:kinsoku/>
        <w:wordWrap/>
        <w:overflowPunct/>
        <w:topLinePunct w:val="0"/>
        <w:autoSpaceDE/>
        <w:autoSpaceDN/>
        <w:bidi w:val="0"/>
        <w:adjustRightInd/>
        <w:snapToGrid/>
        <w:ind w:right="199" w:rightChars="95"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kern w:val="2"/>
          <w:sz w:val="32"/>
          <w:szCs w:val="32"/>
          <w:lang w:val="en-US" w:eastAsia="zh-CN" w:bidi="ar-SA"/>
        </w:rPr>
        <w:t>根据《佛山市南海区建筑行业先进企业评选办法》（试行）</w:t>
      </w:r>
      <w:r>
        <w:rPr>
          <w:rFonts w:hint="eastAsia" w:ascii="仿宋" w:hAnsi="仿宋" w:eastAsia="仿宋" w:cs="仿宋"/>
          <w:b w:val="0"/>
          <w:bCs w:val="0"/>
          <w:sz w:val="32"/>
          <w:szCs w:val="32"/>
          <w:lang w:val="en-US" w:eastAsia="zh-CN"/>
        </w:rPr>
        <w:t>（南建协【2019】6号）文件精神，我协会拟定于2019年1-3月开展2018年度南海区建筑行业先进企业评选活动，现就有关事项通知如下：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ind w:right="199" w:rightChars="95"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申报条件</w:t>
      </w:r>
    </w:p>
    <w:p>
      <w:pPr>
        <w:pStyle w:val="2"/>
        <w:numPr>
          <w:ilvl w:val="0"/>
          <w:numId w:val="0"/>
        </w:numPr>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b w:val="0"/>
          <w:bCs w:val="0"/>
          <w:kern w:val="2"/>
          <w:sz w:val="32"/>
          <w:szCs w:val="32"/>
          <w:lang w:val="en-US" w:eastAsia="zh-CN" w:bidi="ar-SA"/>
        </w:rPr>
        <w:t>符合《</w:t>
      </w:r>
      <w:r>
        <w:rPr>
          <w:rFonts w:hint="eastAsia" w:ascii="仿宋" w:hAnsi="仿宋" w:eastAsia="仿宋" w:cs="仿宋"/>
          <w:kern w:val="2"/>
          <w:sz w:val="32"/>
          <w:szCs w:val="32"/>
          <w:lang w:val="en-US" w:eastAsia="zh-CN" w:bidi="ar-SA"/>
        </w:rPr>
        <w:t>佛山市南海区建筑行业先进企业评选办法</w:t>
      </w:r>
      <w:r>
        <w:rPr>
          <w:rFonts w:hint="eastAsia" w:ascii="仿宋" w:hAnsi="仿宋" w:eastAsia="仿宋" w:cs="仿宋"/>
          <w:b w:val="0"/>
          <w:bCs w:val="0"/>
          <w:kern w:val="2"/>
          <w:sz w:val="32"/>
          <w:szCs w:val="32"/>
          <w:lang w:val="en-US" w:eastAsia="zh-CN" w:bidi="ar-SA"/>
        </w:rPr>
        <w:t>（试行）》申报条件的企业均可申报</w:t>
      </w:r>
      <w:r>
        <w:rPr>
          <w:rFonts w:hint="eastAsia" w:ascii="仿宋" w:hAnsi="仿宋" w:eastAsia="仿宋" w:cs="仿宋"/>
          <w:color w:val="auto"/>
          <w:sz w:val="32"/>
          <w:szCs w:val="32"/>
          <w:lang w:eastAsia="zh-CN"/>
        </w:rPr>
        <w:t>：</w:t>
      </w:r>
    </w:p>
    <w:p>
      <w:pPr>
        <w:pStyle w:val="2"/>
        <w:numPr>
          <w:ilvl w:val="0"/>
          <w:numId w:val="0"/>
        </w:numPr>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1、在南海区行政区域范围内工商登记注册或承接工程项目的建筑业企业，自觉接受南海区建筑行业自律监管，承认佛山市南海区建筑业协会章程；</w:t>
      </w:r>
    </w:p>
    <w:p>
      <w:pPr>
        <w:pStyle w:val="2"/>
        <w:numPr>
          <w:ilvl w:val="0"/>
          <w:numId w:val="0"/>
        </w:numPr>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2、在佛山市建筑行业诚信管理平台办理登记，且当前诚信等级须为B级（诚信分值100分）以上；</w:t>
      </w:r>
    </w:p>
    <w:p>
      <w:pPr>
        <w:pStyle w:val="2"/>
        <w:numPr>
          <w:ilvl w:val="0"/>
          <w:numId w:val="0"/>
        </w:numPr>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3、在评选年度内未发生过一般及以上质量安全事故，未受过各级建设行政主管部门行政处罚或被列入重点监控范围，未因劳资纠纷等原因引发群体性事件；</w:t>
      </w:r>
    </w:p>
    <w:p>
      <w:pPr>
        <w:pStyle w:val="2"/>
        <w:numPr>
          <w:ilvl w:val="0"/>
          <w:numId w:val="0"/>
        </w:numPr>
        <w:ind w:right="0" w:rightChars="0" w:firstLine="640" w:firstLineChars="200"/>
        <w:rPr>
          <w:rFonts w:hint="eastAsia"/>
          <w:lang w:val="en-US" w:eastAsia="zh-CN"/>
        </w:rPr>
      </w:pPr>
      <w:r>
        <w:rPr>
          <w:rFonts w:hint="eastAsia" w:ascii="仿宋" w:hAnsi="仿宋" w:eastAsia="仿宋" w:cs="仿宋"/>
          <w:color w:val="auto"/>
          <w:sz w:val="32"/>
          <w:szCs w:val="32"/>
          <w:lang w:eastAsia="zh-CN"/>
        </w:rPr>
        <w:t>4、在南海区内有税务登记，依法缴纳税款。</w:t>
      </w:r>
    </w:p>
    <w:p>
      <w:pPr>
        <w:pStyle w:val="2"/>
        <w:numPr>
          <w:ilvl w:val="0"/>
          <w:numId w:val="0"/>
        </w:numPr>
        <w:ind w:right="0" w:rightChars="0" w:firstLine="643" w:firstLineChars="200"/>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二、申报时间</w:t>
      </w:r>
    </w:p>
    <w:p>
      <w:pPr>
        <w:pStyle w:val="2"/>
        <w:numPr>
          <w:ilvl w:val="0"/>
          <w:numId w:val="0"/>
        </w:numPr>
        <w:ind w:right="0" w:righ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发文之日起至2019年2月21日，逾期不再受理。</w:t>
      </w:r>
    </w:p>
    <w:p>
      <w:pPr>
        <w:pStyle w:val="2"/>
        <w:numPr>
          <w:ilvl w:val="0"/>
          <w:numId w:val="0"/>
        </w:numPr>
        <w:ind w:right="0" w:rightChars="0" w:firstLine="643" w:firstLineChars="200"/>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三、申报材料内容及要求</w:t>
      </w:r>
    </w:p>
    <w:p>
      <w:pPr>
        <w:ind w:firstLine="660"/>
        <w:rPr>
          <w:rFonts w:hint="eastAsia" w:ascii="仿宋" w:hAnsi="仿宋" w:eastAsia="仿宋" w:cs="仿宋"/>
          <w:color w:val="auto"/>
          <w:sz w:val="32"/>
          <w:szCs w:val="32"/>
        </w:rPr>
      </w:pPr>
      <w:r>
        <w:rPr>
          <w:rFonts w:hint="eastAsia" w:ascii="仿宋" w:hAnsi="仿宋" w:eastAsia="仿宋" w:cs="仿宋"/>
          <w:color w:val="auto"/>
          <w:sz w:val="32"/>
          <w:szCs w:val="32"/>
        </w:rPr>
        <w:t>1、《佛山市南海区建筑业先进企业评选申报表》；</w:t>
      </w:r>
    </w:p>
    <w:p>
      <w:pPr>
        <w:ind w:firstLine="660"/>
        <w:rPr>
          <w:rFonts w:hint="eastAsia" w:ascii="仿宋" w:hAnsi="仿宋" w:eastAsia="仿宋" w:cs="仿宋"/>
          <w:color w:val="auto"/>
          <w:sz w:val="32"/>
          <w:szCs w:val="32"/>
        </w:rPr>
      </w:pPr>
      <w:r>
        <w:rPr>
          <w:rFonts w:hint="eastAsia" w:ascii="仿宋" w:hAnsi="仿宋" w:eastAsia="仿宋" w:cs="仿宋"/>
          <w:color w:val="auto"/>
          <w:sz w:val="32"/>
          <w:szCs w:val="32"/>
        </w:rPr>
        <w:t>2、在区建设行政主管部门组织的各项检查中受到通报表扬的文件或相关证明材料；</w:t>
      </w:r>
    </w:p>
    <w:p>
      <w:pPr>
        <w:ind w:firstLine="660"/>
        <w:rPr>
          <w:rFonts w:hint="eastAsia" w:ascii="仿宋" w:hAnsi="仿宋" w:eastAsia="仿宋" w:cs="仿宋"/>
          <w:color w:val="auto"/>
          <w:sz w:val="32"/>
          <w:szCs w:val="32"/>
        </w:rPr>
      </w:pPr>
      <w:r>
        <w:rPr>
          <w:rFonts w:hint="eastAsia" w:ascii="仿宋" w:hAnsi="仿宋" w:eastAsia="仿宋" w:cs="仿宋"/>
          <w:color w:val="auto"/>
          <w:sz w:val="32"/>
          <w:szCs w:val="32"/>
        </w:rPr>
        <w:t>3、评选年度纳税证明；</w:t>
      </w:r>
    </w:p>
    <w:p>
      <w:pPr>
        <w:ind w:firstLine="660"/>
        <w:rPr>
          <w:rFonts w:hint="eastAsia" w:ascii="仿宋" w:hAnsi="仿宋" w:eastAsia="仿宋" w:cs="仿宋"/>
          <w:color w:val="auto"/>
          <w:sz w:val="32"/>
          <w:szCs w:val="32"/>
        </w:rPr>
      </w:pPr>
      <w:r>
        <w:rPr>
          <w:rFonts w:hint="eastAsia" w:ascii="仿宋" w:hAnsi="仿宋" w:eastAsia="仿宋" w:cs="仿宋"/>
          <w:color w:val="auto"/>
          <w:sz w:val="32"/>
          <w:szCs w:val="32"/>
        </w:rPr>
        <w:t>4、评选年度财务报告复印件；</w:t>
      </w:r>
    </w:p>
    <w:p>
      <w:pPr>
        <w:ind w:firstLine="660"/>
        <w:rPr>
          <w:rFonts w:hint="eastAsia" w:ascii="仿宋" w:hAnsi="仿宋" w:eastAsia="仿宋" w:cs="仿宋"/>
          <w:color w:val="auto"/>
          <w:sz w:val="32"/>
          <w:szCs w:val="32"/>
        </w:rPr>
      </w:pPr>
      <w:r>
        <w:rPr>
          <w:rFonts w:hint="eastAsia" w:ascii="仿宋" w:hAnsi="仿宋" w:eastAsia="仿宋" w:cs="仿宋"/>
          <w:color w:val="auto"/>
          <w:sz w:val="32"/>
          <w:szCs w:val="32"/>
        </w:rPr>
        <w:t>5、评选年度企业统计报表；</w:t>
      </w:r>
    </w:p>
    <w:p>
      <w:pPr>
        <w:ind w:firstLine="660"/>
        <w:rPr>
          <w:rFonts w:hint="eastAsia" w:ascii="仿宋" w:hAnsi="仿宋" w:eastAsia="仿宋" w:cs="仿宋"/>
          <w:color w:val="auto"/>
          <w:sz w:val="32"/>
          <w:szCs w:val="32"/>
        </w:rPr>
      </w:pPr>
      <w:r>
        <w:rPr>
          <w:rFonts w:hint="eastAsia" w:ascii="仿宋" w:hAnsi="仿宋" w:eastAsia="仿宋" w:cs="仿宋"/>
          <w:color w:val="auto"/>
          <w:sz w:val="32"/>
          <w:szCs w:val="32"/>
        </w:rPr>
        <w:t>6、佛山市南海区建筑业先进企业（施工/监理）评分表提及的其它证明文件复印件；</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7、订装要求：申报表、申报材料一式一份，编制目录、页码，相关材料复印件需加盖单位公章（备原件核查），并统一用A4纸装订成册。</w:t>
      </w:r>
    </w:p>
    <w:p>
      <w:pPr>
        <w:pStyle w:val="2"/>
        <w:ind w:left="0" w:leftChars="0" w:firstLine="640" w:firstLineChars="200"/>
        <w:rPr>
          <w:rFonts w:hint="eastAsia"/>
        </w:rPr>
      </w:pPr>
      <w:r>
        <w:rPr>
          <w:rFonts w:hint="eastAsia" w:ascii="仿宋" w:hAnsi="仿宋" w:eastAsia="仿宋" w:cs="仿宋"/>
          <w:color w:val="auto"/>
          <w:sz w:val="32"/>
          <w:szCs w:val="32"/>
        </w:rPr>
        <w:t>申报资料必须准确、真实；提供的文件、证明和印章等必须清晰，容易辩认。</w:t>
      </w:r>
    </w:p>
    <w:p>
      <w:pPr>
        <w:pStyle w:val="2"/>
        <w:numPr>
          <w:ilvl w:val="0"/>
          <w:numId w:val="0"/>
        </w:numPr>
        <w:ind w:right="0" w:rightChars="0" w:firstLine="643" w:firstLineChars="200"/>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四、受理部门</w:t>
      </w:r>
    </w:p>
    <w:p>
      <w:pPr>
        <w:pStyle w:val="2"/>
        <w:numPr>
          <w:ilvl w:val="0"/>
          <w:numId w:val="0"/>
        </w:numPr>
        <w:ind w:right="0" w:righ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佛山市南海区建筑业协会（技术部）</w:t>
      </w:r>
    </w:p>
    <w:p>
      <w:pPr>
        <w:numPr>
          <w:ilvl w:val="0"/>
          <w:numId w:val="0"/>
        </w:numPr>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联系电话：0757-81272765</w:t>
      </w:r>
    </w:p>
    <w:p>
      <w:pPr>
        <w:numPr>
          <w:ilvl w:val="0"/>
          <w:numId w:val="0"/>
        </w:numPr>
        <w:ind w:firstLine="640" w:firstLineChars="200"/>
        <w:rPr>
          <w:rFonts w:hint="eastAsia"/>
          <w:lang w:val="en-US" w:eastAsia="zh-CN"/>
        </w:rPr>
      </w:pPr>
      <w:r>
        <w:rPr>
          <w:rFonts w:hint="eastAsia" w:ascii="仿宋" w:hAnsi="仿宋" w:eastAsia="仿宋" w:cs="仿宋"/>
          <w:b w:val="0"/>
          <w:bCs w:val="0"/>
          <w:kern w:val="2"/>
          <w:sz w:val="32"/>
          <w:szCs w:val="32"/>
          <w:lang w:val="en-US" w:eastAsia="zh-CN" w:bidi="ar-SA"/>
        </w:rPr>
        <w:t xml:space="preserve">联系邮箱：2707074457@qq.com   </w:t>
      </w:r>
    </w:p>
    <w:p>
      <w:pPr>
        <w:pStyle w:val="2"/>
        <w:numPr>
          <w:ilvl w:val="0"/>
          <w:numId w:val="0"/>
        </w:numPr>
        <w:ind w:right="0" w:righ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联系地址：佛山市南海区桂城平洲夏南路58号方舟一号</w:t>
      </w:r>
    </w:p>
    <w:p>
      <w:pPr>
        <w:pStyle w:val="2"/>
        <w:numPr>
          <w:ilvl w:val="0"/>
          <w:numId w:val="0"/>
        </w:numPr>
        <w:ind w:right="0" w:rightChars="0" w:firstLine="2240" w:firstLineChars="700"/>
        <w:rPr>
          <w:rFonts w:hint="eastAsia" w:eastAsia="仿宋"/>
          <w:lang w:val="en-US" w:eastAsia="zh-CN"/>
        </w:rPr>
      </w:pPr>
      <w:r>
        <w:rPr>
          <w:rFonts w:hint="eastAsia" w:ascii="仿宋" w:hAnsi="仿宋" w:eastAsia="仿宋" w:cs="仿宋"/>
          <w:b w:val="0"/>
          <w:bCs w:val="0"/>
          <w:kern w:val="2"/>
          <w:sz w:val="32"/>
          <w:szCs w:val="32"/>
          <w:lang w:val="en-US" w:eastAsia="zh-CN" w:bidi="ar-SA"/>
        </w:rPr>
        <w:t>一座二栋502单元</w:t>
      </w:r>
    </w:p>
    <w:p>
      <w:pPr>
        <w:pStyle w:val="2"/>
        <w:numPr>
          <w:ilvl w:val="0"/>
          <w:numId w:val="0"/>
        </w:numPr>
        <w:ind w:right="0" w:rightChars="0"/>
        <w:rPr>
          <w:rFonts w:hint="eastAsia" w:ascii="仿宋" w:hAnsi="仿宋" w:eastAsia="仿宋" w:cs="仿宋"/>
          <w:b w:val="0"/>
          <w:bCs w:val="0"/>
          <w:kern w:val="2"/>
          <w:sz w:val="32"/>
          <w:szCs w:val="32"/>
          <w:lang w:val="en-US" w:eastAsia="zh-CN" w:bidi="ar-SA"/>
        </w:rPr>
      </w:pPr>
    </w:p>
    <w:p>
      <w:pPr>
        <w:spacing w:beforeLines="0" w:afterLines="0" w:line="360" w:lineRule="auto"/>
        <w:ind w:firstLine="614" w:firstLineChars="192"/>
        <w:rPr>
          <w:rFonts w:hint="eastAsia" w:ascii="仿宋_GB2312" w:hAnsi="Times New Roman" w:eastAsia="仿宋_GB2312"/>
          <w:color w:val="auto"/>
          <w:sz w:val="32"/>
        </w:rPr>
      </w:pPr>
      <w:r>
        <w:rPr>
          <w:rFonts w:hint="eastAsia" w:ascii="仿宋" w:hAnsi="仿宋" w:eastAsia="仿宋" w:cs="仿宋"/>
          <w:b w:val="0"/>
          <w:bCs w:val="0"/>
          <w:kern w:val="2"/>
          <w:sz w:val="32"/>
          <w:szCs w:val="32"/>
          <w:lang w:val="en-US" w:eastAsia="zh-CN" w:bidi="ar-SA"/>
        </w:rPr>
        <w:t>附件：</w:t>
      </w:r>
      <w:r>
        <w:rPr>
          <w:rFonts w:hint="eastAsia" w:ascii="仿宋_GB2312" w:hAnsi="Times New Roman" w:eastAsia="仿宋_GB2312"/>
          <w:color w:val="auto"/>
          <w:sz w:val="32"/>
        </w:rPr>
        <w:t>1、佛山市南海区建筑业先进企业评选申报表</w:t>
      </w:r>
    </w:p>
    <w:p>
      <w:pPr>
        <w:spacing w:beforeLines="0" w:afterLines="0" w:line="360" w:lineRule="auto"/>
        <w:ind w:firstLine="614" w:firstLineChars="192"/>
        <w:rPr>
          <w:rFonts w:hint="eastAsia" w:ascii="仿宋_GB2312" w:hAnsi="Times New Roman" w:eastAsia="仿宋_GB2312"/>
          <w:color w:val="auto"/>
          <w:sz w:val="32"/>
        </w:rPr>
      </w:pPr>
      <w:r>
        <w:rPr>
          <w:rFonts w:hint="eastAsia" w:ascii="仿宋_GB2312" w:hAnsi="Times New Roman" w:eastAsia="仿宋_GB2312"/>
          <w:color w:val="auto"/>
          <w:sz w:val="32"/>
        </w:rPr>
        <w:t xml:space="preserve">      2、佛山市南海区建筑业先进企业（施工）评分表</w:t>
      </w:r>
    </w:p>
    <w:p>
      <w:pPr>
        <w:ind w:firstLine="640" w:firstLineChars="200"/>
        <w:rPr>
          <w:rFonts w:hint="eastAsia" w:ascii="仿宋" w:hAnsi="仿宋" w:eastAsia="仿宋" w:cs="仿宋"/>
          <w:b w:val="0"/>
          <w:bCs w:val="0"/>
          <w:kern w:val="2"/>
          <w:sz w:val="32"/>
          <w:szCs w:val="32"/>
          <w:lang w:val="en-US" w:eastAsia="zh-CN" w:bidi="ar-SA"/>
        </w:rPr>
      </w:pPr>
      <w:r>
        <w:rPr>
          <w:rFonts w:hint="eastAsia" w:ascii="仿宋_GB2312" w:hAnsi="Times New Roman" w:eastAsia="仿宋_GB2312"/>
          <w:color w:val="auto"/>
          <w:sz w:val="32"/>
        </w:rPr>
        <w:t xml:space="preserve">      3、佛山市南海区建筑业先进企业（监理）评分表</w:t>
      </w: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佛山市南海区建筑业协会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2019年1月29日</w:t>
      </w: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p>
    <w:p>
      <w:pPr>
        <w:pStyle w:val="2"/>
        <w:ind w:left="0" w:leftChars="0" w:firstLine="0" w:firstLine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w:t>
      </w:r>
    </w:p>
    <w:p>
      <w:pPr>
        <w:adjustRightInd w:val="0"/>
        <w:spacing w:beforeLines="0" w:afterLines="0" w:line="312" w:lineRule="atLeast"/>
        <w:textAlignment w:val="baseline"/>
        <w:rPr>
          <w:rFonts w:hint="eastAsia" w:ascii="方正小标宋简体" w:hAnsi="方正小标宋简体" w:eastAsia="方正小标宋简体"/>
          <w:b/>
          <w:color w:val="auto"/>
          <w:kern w:val="0"/>
          <w:sz w:val="44"/>
        </w:rPr>
      </w:pP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4"/>
        </w:rPr>
      </w:pPr>
      <w:r>
        <w:rPr>
          <w:rFonts w:hint="eastAsia" w:ascii="方正小标宋简体" w:hAnsi="方正小标宋简体" w:eastAsia="方正小标宋简体"/>
          <w:b/>
          <w:color w:val="auto"/>
          <w:kern w:val="0"/>
          <w:sz w:val="44"/>
        </w:rPr>
        <w:t>佛山市南海区建筑业先进企业评选</w:t>
      </w: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0"/>
        </w:rPr>
      </w:pPr>
      <w:r>
        <w:rPr>
          <w:rFonts w:hint="eastAsia" w:ascii="方正小标宋简体" w:hAnsi="方正小标宋简体" w:eastAsia="方正小标宋简体"/>
          <w:b/>
          <w:color w:val="auto"/>
          <w:kern w:val="0"/>
          <w:sz w:val="44"/>
        </w:rPr>
        <w:t>申  报  表</w:t>
      </w:r>
    </w:p>
    <w:p>
      <w:pPr>
        <w:spacing w:before="157" w:beforeLines="50" w:afterLines="0"/>
        <w:jc w:val="center"/>
        <w:rPr>
          <w:rFonts w:hint="eastAsia" w:ascii="仿宋_GB2312" w:hAnsi="Times New Roman" w:eastAsia="仿宋_GB2312"/>
          <w:color w:val="auto"/>
          <w:sz w:val="32"/>
        </w:rPr>
      </w:pPr>
      <w:r>
        <w:rPr>
          <w:rFonts w:hint="eastAsia" w:ascii="方正小标宋简体" w:hAnsi="方正小标宋简体" w:eastAsia="方正小标宋简体"/>
          <w:b/>
          <w:color w:val="auto"/>
          <w:kern w:val="0"/>
          <w:sz w:val="40"/>
        </w:rPr>
        <w:t>（</w:t>
      </w:r>
      <w:r>
        <w:rPr>
          <w:rFonts w:hint="eastAsia" w:ascii="方正小标宋简体" w:hAnsi="方正小标宋简体" w:eastAsia="方正小标宋简体"/>
          <w:b/>
          <w:color w:val="auto"/>
          <w:kern w:val="0"/>
          <w:sz w:val="40"/>
          <w:u w:val="single"/>
        </w:rPr>
        <w:t xml:space="preserve"> 20   </w:t>
      </w:r>
      <w:r>
        <w:rPr>
          <w:rFonts w:hint="eastAsia" w:ascii="方正小标宋简体" w:hAnsi="方正小标宋简体" w:eastAsia="方正小标宋简体"/>
          <w:b/>
          <w:color w:val="auto"/>
          <w:kern w:val="0"/>
          <w:sz w:val="40"/>
        </w:rPr>
        <w:t>年度）</w:t>
      </w:r>
    </w:p>
    <w:p>
      <w:pPr>
        <w:spacing w:beforeLines="0" w:afterLines="0"/>
        <w:rPr>
          <w:rFonts w:hint="eastAsia" w:ascii="仿宋_GB2312" w:hAnsi="Times New Roman" w:eastAsia="仿宋_GB2312"/>
          <w:color w:val="auto"/>
          <w:sz w:val="36"/>
        </w:rPr>
      </w:pPr>
    </w:p>
    <w:p>
      <w:pPr>
        <w:spacing w:beforeLines="0" w:afterLines="0"/>
        <w:rPr>
          <w:rFonts w:hint="eastAsia" w:ascii="仿宋_GB2312" w:hAnsi="Times New Roman" w:eastAsia="仿宋_GB2312"/>
          <w:color w:val="auto"/>
          <w:sz w:val="36"/>
        </w:rPr>
      </w:pPr>
    </w:p>
    <w:p>
      <w:pPr>
        <w:spacing w:beforeLines="0" w:afterLines="0"/>
        <w:rPr>
          <w:rFonts w:hint="eastAsia" w:ascii="仿宋_GB2312" w:hAnsi="Times New Roman" w:eastAsia="仿宋_GB2312"/>
          <w:color w:val="auto"/>
          <w:sz w:val="36"/>
        </w:rPr>
      </w:pPr>
    </w:p>
    <w:p>
      <w:pPr>
        <w:spacing w:beforeLines="0" w:afterLines="0"/>
        <w:ind w:firstLine="1285" w:firstLineChars="400"/>
        <w:rPr>
          <w:rFonts w:hint="eastAsia" w:ascii="黑体" w:hAnsi="黑体" w:eastAsia="黑体"/>
          <w:b/>
          <w:color w:val="auto"/>
          <w:sz w:val="32"/>
        </w:rPr>
      </w:pPr>
      <w:r>
        <w:rPr>
          <w:rFonts w:hint="default" w:ascii="黑体" w:hAnsi="黑体" w:eastAsia="黑体"/>
          <w:b/>
          <w:color w:val="auto"/>
          <w:sz w:val="32"/>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297180</wp:posOffset>
                </wp:positionV>
                <wp:extent cx="28575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23.4pt;height:0pt;width:225pt;z-index:251660288;mso-width-relative:page;mso-height-relative:page;" filled="f" stroked="t" coordsize="21600,21600" o:gfxdata="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KW4cdUAAAAJAQAADwAAAAAAAAAB&#10;ACAAAAAiAAAAZHJzL2Rvd25yZXYueG1sUEsBAhQAFAAAAAgAh07iQIhT3SvaAQAAlgMAAA4AAAAA&#10;AAAAAQAgAAAAJAEAAGRycy9lMm9Eb2MueG1sUEsFBgAAAAAGAAYAWQEAAHAFAAAAAA==&#10;">
                <v:fill on="f" focussize="0,0"/>
                <v:stroke color="#000000" joinstyle="round"/>
                <v:imagedata o:title=""/>
                <o:lock v:ext="edit" aspectratio="f"/>
              </v:line>
            </w:pict>
          </mc:Fallback>
        </mc:AlternateContent>
      </w:r>
      <w:r>
        <w:rPr>
          <w:rFonts w:hint="eastAsia" w:ascii="黑体" w:hAnsi="黑体" w:eastAsia="黑体"/>
          <w:b/>
          <w:color w:val="auto"/>
          <w:sz w:val="32"/>
        </w:rPr>
        <w:t xml:space="preserve">申报单位（盖章）                       </w:t>
      </w:r>
    </w:p>
    <w:p>
      <w:pPr>
        <w:spacing w:beforeLines="0" w:afterLines="0"/>
        <w:ind w:firstLine="1285" w:firstLineChars="400"/>
        <w:rPr>
          <w:rFonts w:hint="eastAsia" w:ascii="黑体" w:hAnsi="黑体" w:eastAsia="黑体"/>
          <w:b/>
          <w:color w:val="auto"/>
          <w:sz w:val="32"/>
        </w:rPr>
      </w:pPr>
      <w:r>
        <w:rPr>
          <w:rFonts w:hint="eastAsia" w:ascii="黑体" w:hAnsi="黑体" w:eastAsia="黑体"/>
          <w:b/>
          <w:color w:val="auto"/>
          <w:sz w:val="32"/>
        </w:rPr>
        <w:t xml:space="preserve"> </w:t>
      </w:r>
    </w:p>
    <w:p>
      <w:pPr>
        <w:spacing w:beforeLines="0" w:afterLines="0"/>
        <w:ind w:firstLine="1285" w:firstLineChars="400"/>
        <w:rPr>
          <w:rFonts w:hint="eastAsia" w:ascii="黑体" w:hAnsi="黑体" w:eastAsia="黑体"/>
          <w:b/>
          <w:color w:val="auto"/>
          <w:sz w:val="32"/>
        </w:rPr>
      </w:pPr>
      <w:r>
        <w:rPr>
          <w:rFonts w:hint="default" w:ascii="黑体" w:hAnsi="黑体" w:eastAsia="黑体"/>
          <w:b/>
          <w:color w:val="auto"/>
          <w:sz w:val="32"/>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297180</wp:posOffset>
                </wp:positionV>
                <wp:extent cx="28575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23.4pt;height:0pt;width:225pt;z-index:251661312;mso-width-relative:page;mso-height-relative:page;" filled="f" stroked="t" coordsize="21600,21600" o:gfxdata="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yluHHVAAAACQEAAA8AAAAAAAAA&#10;AQAgAAAAIgAAAGRycy9kb3ducmV2LnhtbFBLAQIUABQAAAAIAIdO4kC77nGc2wEAAJYDAAAOAAAA&#10;AAAAAAEAIAAAACQBAABkcnMvZTJvRG9jLnhtbFBLBQYAAAAABgAGAFkBAABxBQAAAAA=&#10;">
                <v:fill on="f" focussize="0,0"/>
                <v:stroke color="#000000" joinstyle="round"/>
                <v:imagedata o:title=""/>
                <o:lock v:ext="edit" aspectratio="f"/>
              </v:line>
            </w:pict>
          </mc:Fallback>
        </mc:AlternateContent>
      </w:r>
      <w:r>
        <w:rPr>
          <w:rFonts w:hint="eastAsia" w:ascii="黑体" w:hAnsi="黑体" w:eastAsia="黑体"/>
          <w:b/>
          <w:color w:val="auto"/>
          <w:sz w:val="32"/>
        </w:rPr>
        <w:t xml:space="preserve">申  报  时  间     </w:t>
      </w:r>
    </w:p>
    <w:p>
      <w:pPr>
        <w:spacing w:beforeLines="0" w:afterLines="0"/>
        <w:ind w:firstLine="1285" w:firstLineChars="400"/>
        <w:rPr>
          <w:rFonts w:hint="eastAsia" w:ascii="黑体" w:hAnsi="黑体" w:eastAsia="黑体"/>
          <w:b/>
          <w:color w:val="auto"/>
          <w:sz w:val="32"/>
        </w:rPr>
      </w:pPr>
    </w:p>
    <w:p>
      <w:pPr>
        <w:spacing w:beforeLines="0" w:afterLines="0"/>
        <w:ind w:firstLine="1285" w:firstLineChars="400"/>
        <w:jc w:val="center"/>
        <w:rPr>
          <w:rFonts w:hint="eastAsia" w:ascii="黑体" w:hAnsi="黑体" w:eastAsia="黑体"/>
          <w:b/>
          <w:color w:val="auto"/>
          <w:sz w:val="32"/>
        </w:rPr>
      </w:pPr>
    </w:p>
    <w:p>
      <w:pPr>
        <w:pStyle w:val="2"/>
        <w:spacing w:beforeLines="0" w:afterLines="0"/>
        <w:rPr>
          <w:rFonts w:hint="eastAsia" w:ascii="黑体" w:hAnsi="黑体" w:eastAsia="黑体"/>
          <w:b/>
          <w:color w:val="auto"/>
          <w:sz w:val="32"/>
        </w:rPr>
      </w:pPr>
    </w:p>
    <w:p>
      <w:pPr>
        <w:spacing w:beforeLines="0" w:afterLines="0"/>
        <w:rPr>
          <w:rFonts w:hint="default"/>
          <w:color w:val="auto"/>
          <w:sz w:val="21"/>
        </w:rPr>
      </w:pPr>
    </w:p>
    <w:p>
      <w:pPr>
        <w:spacing w:beforeLines="0" w:afterLines="0"/>
        <w:ind w:firstLine="1285" w:firstLineChars="400"/>
        <w:jc w:val="center"/>
        <w:rPr>
          <w:rFonts w:hint="eastAsia" w:ascii="黑体" w:hAnsi="黑体" w:eastAsia="黑体"/>
          <w:b/>
          <w:color w:val="auto"/>
          <w:sz w:val="32"/>
        </w:rPr>
      </w:pPr>
    </w:p>
    <w:p>
      <w:pPr>
        <w:spacing w:beforeLines="0" w:afterLines="0"/>
        <w:ind w:firstLine="1285" w:firstLineChars="400"/>
        <w:jc w:val="center"/>
        <w:rPr>
          <w:rFonts w:hint="eastAsia" w:ascii="黑体" w:hAnsi="黑体" w:eastAsia="黑体"/>
          <w:b/>
          <w:color w:val="auto"/>
          <w:sz w:val="32"/>
        </w:rPr>
      </w:pPr>
    </w:p>
    <w:p>
      <w:pPr>
        <w:spacing w:beforeLines="0" w:afterLines="0"/>
        <w:jc w:val="center"/>
        <w:rPr>
          <w:rFonts w:hint="eastAsia" w:ascii="仿宋_GB2312" w:hAnsi="Times New Roman" w:eastAsia="黑体"/>
          <w:b/>
          <w:color w:val="auto"/>
          <w:sz w:val="36"/>
        </w:rPr>
      </w:pPr>
      <w:r>
        <w:rPr>
          <w:rFonts w:hint="eastAsia" w:ascii="黑体" w:hAnsi="黑体" w:eastAsia="黑体"/>
          <w:b/>
          <w:color w:val="auto"/>
          <w:sz w:val="32"/>
        </w:rPr>
        <w:t>-佛山市南海区建筑业协会制-</w:t>
      </w:r>
    </w:p>
    <w:p>
      <w:pPr>
        <w:spacing w:beforeLines="0" w:afterLines="0"/>
        <w:jc w:val="center"/>
        <w:rPr>
          <w:rFonts w:hint="eastAsia" w:ascii="仿宋_GB2312" w:hAnsi="Times New Roman" w:eastAsia="仿宋_GB2312"/>
          <w:b/>
          <w:color w:val="auto"/>
          <w:sz w:val="36"/>
        </w:rPr>
      </w:pPr>
    </w:p>
    <w:p>
      <w:pPr>
        <w:spacing w:beforeLines="0" w:afterLines="0"/>
        <w:jc w:val="center"/>
        <w:rPr>
          <w:rFonts w:hint="eastAsia" w:ascii="仿宋_GB2312" w:hAnsi="Times New Roman" w:eastAsia="仿宋_GB2312"/>
          <w:b/>
          <w:color w:val="auto"/>
          <w:sz w:val="36"/>
        </w:rPr>
      </w:pP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4"/>
        </w:rPr>
      </w:pP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4"/>
        </w:rPr>
      </w:pPr>
      <w:r>
        <w:rPr>
          <w:rFonts w:hint="eastAsia" w:ascii="方正小标宋简体" w:hAnsi="方正小标宋简体" w:eastAsia="方正小标宋简体"/>
          <w:b/>
          <w:color w:val="auto"/>
          <w:kern w:val="0"/>
          <w:sz w:val="44"/>
        </w:rPr>
        <w:t>填表说明</w:t>
      </w:r>
    </w:p>
    <w:p>
      <w:pPr>
        <w:adjustRightInd w:val="0"/>
        <w:spacing w:beforeLines="0" w:afterLines="0" w:line="312" w:lineRule="atLeast"/>
        <w:jc w:val="center"/>
        <w:textAlignment w:val="baseline"/>
        <w:rPr>
          <w:rFonts w:hint="eastAsia" w:ascii="方正小标宋简体" w:hAnsi="方正小标宋简体" w:eastAsia="方正小标宋简体"/>
          <w:b/>
          <w:color w:val="auto"/>
          <w:kern w:val="0"/>
          <w:sz w:val="44"/>
        </w:rPr>
      </w:pP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1、请电脑输入或使用黑色签字笔、钢笔填写。</w:t>
      </w: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2、填写内容务必详细、真实。</w:t>
      </w: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3、企业资质，请填写企业具备的所有资质类别及等级。</w:t>
      </w: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4、评选年度纳税情况，请填写评选年度在我区的纳税金额。</w:t>
      </w:r>
    </w:p>
    <w:p>
      <w:pPr>
        <w:spacing w:beforeLines="0" w:afterLines="0"/>
        <w:ind w:left="858" w:leftChars="303" w:hanging="222" w:hangingChars="69"/>
        <w:rPr>
          <w:rFonts w:hint="eastAsia" w:ascii="黑体" w:hAnsi="黑体" w:eastAsia="黑体"/>
          <w:b/>
          <w:color w:val="auto"/>
          <w:sz w:val="32"/>
        </w:rPr>
      </w:pPr>
      <w:r>
        <w:rPr>
          <w:rFonts w:hint="eastAsia" w:ascii="黑体" w:hAnsi="黑体" w:eastAsia="黑体"/>
          <w:b/>
          <w:color w:val="auto"/>
          <w:sz w:val="32"/>
        </w:rPr>
        <w:t>5、评选年度业绩介绍，请填写企业评选年度生产经营状况（区外企业须填写评选年度在本区承担的在建工程项目名称及地址）、企业或项目获奖情况、参与佛山市南海区国土城建和水务局（住建）或佛山市南海区建筑业协会活动或会议情况等。</w:t>
      </w:r>
    </w:p>
    <w:p>
      <w:pPr>
        <w:spacing w:beforeLines="0" w:afterLines="0"/>
        <w:ind w:firstLine="643" w:firstLineChars="200"/>
        <w:rPr>
          <w:rFonts w:hint="eastAsia" w:ascii="黑体" w:hAnsi="黑体" w:eastAsia="黑体"/>
          <w:b/>
          <w:color w:val="auto"/>
          <w:sz w:val="32"/>
        </w:rPr>
      </w:pPr>
      <w:r>
        <w:rPr>
          <w:rFonts w:hint="eastAsia" w:ascii="黑体" w:hAnsi="黑体" w:eastAsia="黑体"/>
          <w:b/>
          <w:color w:val="auto"/>
          <w:sz w:val="32"/>
        </w:rPr>
        <w:t>6、评选年度业绩介绍，若版面不够，可另附页。</w:t>
      </w:r>
    </w:p>
    <w:p>
      <w:pPr>
        <w:spacing w:beforeLines="0" w:afterLines="0" w:line="700" w:lineRule="exact"/>
        <w:ind w:firstLine="645"/>
        <w:rPr>
          <w:rFonts w:hint="eastAsia" w:ascii="仿宋_GB2312" w:hAnsi="Times New Roman" w:eastAsia="仿宋_GB2312"/>
          <w:color w:val="auto"/>
          <w:sz w:val="28"/>
        </w:rPr>
      </w:pPr>
    </w:p>
    <w:p>
      <w:pPr>
        <w:spacing w:beforeLines="0" w:afterLines="0" w:line="700" w:lineRule="exact"/>
        <w:ind w:firstLine="645"/>
        <w:rPr>
          <w:rFonts w:hint="eastAsia" w:ascii="仿宋_GB2312" w:hAnsi="Times New Roman" w:eastAsia="仿宋_GB2312"/>
          <w:color w:val="auto"/>
          <w:sz w:val="28"/>
        </w:rPr>
      </w:pPr>
    </w:p>
    <w:p>
      <w:pPr>
        <w:spacing w:beforeLines="0" w:afterLines="0" w:line="700" w:lineRule="exact"/>
        <w:ind w:firstLine="645"/>
        <w:rPr>
          <w:rFonts w:hint="eastAsia" w:ascii="仿宋_GB2312" w:hAnsi="Times New Roman" w:eastAsia="仿宋_GB2312"/>
          <w:color w:val="auto"/>
          <w:sz w:val="28"/>
        </w:rPr>
      </w:pPr>
    </w:p>
    <w:p>
      <w:pPr>
        <w:pStyle w:val="2"/>
        <w:spacing w:beforeLines="0" w:afterLines="0"/>
        <w:rPr>
          <w:rFonts w:hint="eastAsia"/>
          <w:color w:val="auto"/>
          <w:sz w:val="21"/>
        </w:rPr>
      </w:pPr>
    </w:p>
    <w:p>
      <w:pPr>
        <w:spacing w:beforeLines="0" w:afterLines="0"/>
        <w:rPr>
          <w:rFonts w:hint="eastAsia" w:ascii="仿宋_GB2312" w:hAnsi="Times New Roman" w:eastAsia="仿宋_GB2312"/>
          <w:color w:val="auto"/>
          <w:sz w:val="32"/>
        </w:rPr>
      </w:pPr>
    </w:p>
    <w:p>
      <w:pPr>
        <w:spacing w:beforeLines="0" w:afterLines="0"/>
        <w:rPr>
          <w:rFonts w:hint="eastAsia" w:ascii="仿宋_GB2312" w:hAnsi="Times New Roman" w:eastAsia="仿宋_GB2312"/>
          <w:color w:val="auto"/>
          <w:sz w:val="32"/>
        </w:rPr>
      </w:pPr>
    </w:p>
    <w:p>
      <w:pPr>
        <w:spacing w:beforeLines="0" w:afterLines="0"/>
        <w:rPr>
          <w:rFonts w:hint="eastAsia" w:ascii="仿宋_GB2312" w:hAnsi="Times New Roman" w:eastAsia="仿宋_GB2312"/>
          <w:color w:val="auto"/>
          <w:sz w:val="36"/>
        </w:rPr>
      </w:pPr>
    </w:p>
    <w:p>
      <w:pPr>
        <w:spacing w:beforeLines="0" w:afterLines="0"/>
        <w:rPr>
          <w:rFonts w:hint="default"/>
          <w:color w:val="auto"/>
          <w:sz w:val="21"/>
        </w:rPr>
      </w:pPr>
    </w:p>
    <w:tbl>
      <w:tblPr>
        <w:tblStyle w:val="15"/>
        <w:tblW w:w="9475"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700"/>
        <w:gridCol w:w="1562"/>
        <w:gridCol w:w="1388"/>
        <w:gridCol w:w="15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企业名称</w:t>
            </w:r>
          </w:p>
        </w:tc>
        <w:tc>
          <w:tcPr>
            <w:tcW w:w="795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详细地址</w:t>
            </w:r>
          </w:p>
        </w:tc>
        <w:tc>
          <w:tcPr>
            <w:tcW w:w="795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成立时间</w:t>
            </w:r>
          </w:p>
        </w:tc>
        <w:tc>
          <w:tcPr>
            <w:tcW w:w="1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c>
          <w:tcPr>
            <w:tcW w:w="156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资质证书编号</w:t>
            </w:r>
          </w:p>
        </w:tc>
        <w:tc>
          <w:tcPr>
            <w:tcW w:w="13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c>
          <w:tcPr>
            <w:tcW w:w="15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邮编</w:t>
            </w:r>
          </w:p>
        </w:tc>
        <w:tc>
          <w:tcPr>
            <w:tcW w:w="1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法定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代表人</w:t>
            </w:r>
          </w:p>
        </w:tc>
        <w:tc>
          <w:tcPr>
            <w:tcW w:w="1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c>
          <w:tcPr>
            <w:tcW w:w="156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注册资金（万元）</w:t>
            </w:r>
          </w:p>
        </w:tc>
        <w:tc>
          <w:tcPr>
            <w:tcW w:w="13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c>
          <w:tcPr>
            <w:tcW w:w="15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评选年度纳税金额</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（万元）</w:t>
            </w:r>
          </w:p>
        </w:tc>
        <w:tc>
          <w:tcPr>
            <w:tcW w:w="1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2"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企业资质</w:t>
            </w:r>
          </w:p>
        </w:tc>
        <w:tc>
          <w:tcPr>
            <w:tcW w:w="7950"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7" w:hRule="atLeast"/>
        </w:trPr>
        <w:tc>
          <w:tcPr>
            <w:tcW w:w="1525"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评</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选</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年</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度</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绩</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介</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绍</w:t>
            </w:r>
          </w:p>
        </w:tc>
        <w:tc>
          <w:tcPr>
            <w:tcW w:w="7950"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240" w:lineRule="atLeast"/>
              <w:jc w:val="center"/>
              <w:rPr>
                <w:rFonts w:hint="eastAsia"/>
              </w:rPr>
            </w:pPr>
            <w:r>
              <w:rPr>
                <w:rFonts w:hint="eastAsia"/>
              </w:rPr>
              <w:t>（若不够填写，请另附页）</w:t>
            </w: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jc w:val="center"/>
              <w:rPr>
                <w:rFonts w:hint="eastAsia"/>
              </w:rPr>
            </w:pPr>
          </w:p>
          <w:p>
            <w:pPr>
              <w:snapToGrid w:val="0"/>
              <w:spacing w:beforeLines="0" w:afterLines="0" w:line="240" w:lineRule="atLeast"/>
              <w:rPr>
                <w:rFonts w:hint="eastAsia"/>
              </w:rPr>
            </w:pPr>
          </w:p>
          <w:p>
            <w:pPr>
              <w:pStyle w:val="2"/>
              <w:rPr>
                <w:rFonts w:hint="eastAsia"/>
              </w:rPr>
            </w:pPr>
          </w:p>
        </w:tc>
      </w:tr>
    </w:tbl>
    <w:p>
      <w:pPr>
        <w:snapToGrid w:val="0"/>
        <w:spacing w:beforeLines="0" w:afterLines="0" w:line="240" w:lineRule="atLeast"/>
        <w:rPr>
          <w:rFonts w:hint="eastAsia" w:ascii="黑体" w:hAnsi="黑体" w:eastAsia="黑体"/>
          <w:color w:val="auto"/>
          <w:sz w:val="32"/>
        </w:rPr>
      </w:pPr>
    </w:p>
    <w:tbl>
      <w:tblPr>
        <w:tblStyle w:val="15"/>
        <w:tblW w:w="90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2" w:hRule="atLeast"/>
        </w:trPr>
        <w:tc>
          <w:tcPr>
            <w:tcW w:w="107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企</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自</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荐</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承</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诺</w:t>
            </w:r>
          </w:p>
        </w:tc>
        <w:tc>
          <w:tcPr>
            <w:tcW w:w="797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left"/>
              <w:rPr>
                <w:rFonts w:hint="eastAsia" w:ascii="黑体" w:hAnsi="黑体" w:eastAsia="黑体"/>
                <w:color w:val="auto"/>
                <w:sz w:val="32"/>
              </w:rPr>
            </w:pPr>
            <w:r>
              <w:rPr>
                <w:rFonts w:hint="eastAsia" w:ascii="黑体" w:hAnsi="黑体" w:eastAsia="黑体"/>
                <w:color w:val="auto"/>
                <w:sz w:val="32"/>
              </w:rPr>
              <w:t xml:space="preserve">    本公司承诺所申报的材料全部真实有效，不存在弄虚作假行为，如有不实，愿接受处罚。</w:t>
            </w:r>
          </w:p>
          <w:p>
            <w:pPr>
              <w:snapToGrid w:val="0"/>
              <w:spacing w:beforeLines="0" w:afterLines="0" w:line="240" w:lineRule="atLeast"/>
              <w:rPr>
                <w:rFonts w:hint="eastAsia" w:ascii="黑体" w:hAnsi="黑体" w:eastAsia="黑体"/>
                <w:color w:val="auto"/>
                <w:sz w:val="32"/>
              </w:rPr>
            </w:pPr>
          </w:p>
          <w:p>
            <w:pPr>
              <w:spacing w:beforeLines="0" w:afterLines="0"/>
              <w:rPr>
                <w:rFonts w:hint="default"/>
                <w:color w:val="auto"/>
                <w:sz w:val="21"/>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法定代表人：（签名）</w:t>
            </w: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年  月  日（盖章）</w:t>
            </w:r>
          </w:p>
          <w:p>
            <w:pPr>
              <w:snapToGrid w:val="0"/>
              <w:spacing w:beforeLines="0" w:afterLines="0" w:line="240" w:lineRule="atLeast"/>
              <w:jc w:val="center"/>
              <w:rPr>
                <w:rFonts w:hint="eastAsia" w:ascii="黑体" w:hAnsi="黑体" w:eastAsia="黑体"/>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6" w:hRule="atLeast"/>
        </w:trPr>
        <w:tc>
          <w:tcPr>
            <w:tcW w:w="107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评</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委</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意</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见</w:t>
            </w:r>
          </w:p>
        </w:tc>
        <w:tc>
          <w:tcPr>
            <w:tcW w:w="7974"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rPr>
                <w:rFonts w:hint="eastAsia" w:ascii="黑体" w:hAnsi="黑体" w:eastAsia="黑体"/>
                <w:color w:val="auto"/>
                <w:sz w:val="32"/>
              </w:rPr>
            </w:pPr>
          </w:p>
          <w:p>
            <w:pPr>
              <w:snapToGrid w:val="0"/>
              <w:spacing w:beforeLines="0" w:afterLines="0" w:line="240" w:lineRule="atLeast"/>
              <w:ind w:firstLine="3520" w:firstLineChars="1100"/>
              <w:rPr>
                <w:rFonts w:hint="eastAsia" w:ascii="黑体" w:hAnsi="黑体" w:eastAsia="黑体"/>
                <w:color w:val="auto"/>
                <w:sz w:val="32"/>
              </w:rPr>
            </w:pPr>
            <w:r>
              <w:rPr>
                <w:rFonts w:hint="eastAsia" w:ascii="黑体" w:hAnsi="黑体" w:eastAsia="黑体"/>
                <w:color w:val="auto"/>
                <w:sz w:val="32"/>
              </w:rPr>
              <w:t>（签名）</w:t>
            </w: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w:t>
            </w:r>
          </w:p>
          <w:p>
            <w:pPr>
              <w:tabs>
                <w:tab w:val="left" w:pos="7140"/>
              </w:tabs>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7" w:hRule="atLeast"/>
        </w:trPr>
        <w:tc>
          <w:tcPr>
            <w:tcW w:w="107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佛</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山</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市</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南</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海</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区</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建</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筑</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协</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会</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意</w:t>
            </w: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见</w:t>
            </w:r>
          </w:p>
        </w:tc>
        <w:tc>
          <w:tcPr>
            <w:tcW w:w="7974"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w:t>
            </w:r>
          </w:p>
          <w:p>
            <w:pPr>
              <w:snapToGrid w:val="0"/>
              <w:spacing w:beforeLines="0" w:afterLines="0" w:line="240" w:lineRule="atLeast"/>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jc w:val="center"/>
              <w:rPr>
                <w:rFonts w:hint="eastAsia" w:ascii="黑体" w:hAnsi="黑体" w:eastAsia="黑体"/>
                <w:color w:val="auto"/>
                <w:sz w:val="32"/>
              </w:rPr>
            </w:pPr>
            <w:r>
              <w:rPr>
                <w:rFonts w:hint="eastAsia" w:ascii="黑体" w:hAnsi="黑体" w:eastAsia="黑体"/>
                <w:color w:val="auto"/>
                <w:sz w:val="32"/>
              </w:rPr>
              <w:t xml:space="preserve">       单位（公章）：</w:t>
            </w:r>
          </w:p>
          <w:p>
            <w:pPr>
              <w:snapToGrid w:val="0"/>
              <w:spacing w:beforeLines="0" w:afterLines="0" w:line="240" w:lineRule="atLeast"/>
              <w:jc w:val="center"/>
              <w:rPr>
                <w:rFonts w:hint="eastAsia" w:ascii="黑体" w:hAnsi="黑体" w:eastAsia="黑体"/>
                <w:color w:val="auto"/>
                <w:sz w:val="32"/>
              </w:rPr>
            </w:pPr>
          </w:p>
          <w:p>
            <w:pPr>
              <w:snapToGrid w:val="0"/>
              <w:spacing w:beforeLines="0" w:afterLines="0" w:line="240" w:lineRule="atLeast"/>
              <w:ind w:firstLine="5440" w:firstLineChars="1700"/>
              <w:rPr>
                <w:rFonts w:hint="eastAsia" w:ascii="黑体" w:hAnsi="黑体" w:eastAsia="黑体"/>
                <w:color w:val="auto"/>
                <w:sz w:val="32"/>
              </w:rPr>
            </w:pPr>
            <w:r>
              <w:rPr>
                <w:rFonts w:hint="eastAsia" w:ascii="黑体" w:hAnsi="黑体" w:eastAsia="黑体"/>
                <w:color w:val="auto"/>
                <w:sz w:val="32"/>
              </w:rPr>
              <w:t>年  月  日</w:t>
            </w:r>
          </w:p>
        </w:tc>
      </w:tr>
    </w:tbl>
    <w:p>
      <w:pPr>
        <w:snapToGrid w:val="0"/>
        <w:spacing w:beforeLines="0" w:afterLines="0" w:line="240" w:lineRule="atLeast"/>
        <w:rPr>
          <w:rFonts w:hint="eastAsia" w:ascii="黑体" w:hAnsi="黑体" w:eastAsia="黑体"/>
          <w:color w:val="auto"/>
          <w:sz w:val="32"/>
        </w:rPr>
        <w:sectPr>
          <w:headerReference r:id="rId3" w:type="default"/>
          <w:footerReference r:id="rId4" w:type="default"/>
          <w:pgSz w:w="11906" w:h="16838"/>
          <w:pgMar w:top="1440" w:right="1510" w:bottom="1440" w:left="1576" w:header="851" w:footer="992" w:gutter="0"/>
          <w:lnNumType w:countBy="0" w:distance="360"/>
          <w:cols w:space="720" w:num="1"/>
          <w:titlePg/>
          <w:docGrid w:type="lines" w:linePitch="312" w:charSpace="0"/>
        </w:sectPr>
      </w:pPr>
    </w:p>
    <w:tbl>
      <w:tblPr>
        <w:tblStyle w:val="15"/>
        <w:tblW w:w="14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940"/>
        <w:gridCol w:w="1080"/>
        <w:gridCol w:w="750"/>
        <w:gridCol w:w="8580"/>
        <w:gridCol w:w="93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4" w:hRule="atLeast"/>
        </w:trPr>
        <w:tc>
          <w:tcPr>
            <w:tcW w:w="14420" w:type="dxa"/>
            <w:gridSpan w:val="7"/>
            <w:tcBorders>
              <w:top w:val="nil"/>
              <w:left w:val="nil"/>
              <w:bottom w:val="nil"/>
              <w:right w:val="nil"/>
              <w:tl2br w:val="nil"/>
              <w:tr2bl w:val="nil"/>
            </w:tcBorders>
            <w:noWrap w:val="0"/>
            <w:vAlign w:val="center"/>
          </w:tcPr>
          <w:p>
            <w:pPr>
              <w:pStyle w:val="2"/>
              <w:ind w:left="0" w:leftChars="0" w:firstLine="0" w:firstLine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附件2</w:t>
            </w:r>
          </w:p>
          <w:p>
            <w:pPr>
              <w:widowControl/>
              <w:spacing w:beforeLines="0" w:afterLines="0"/>
              <w:jc w:val="center"/>
              <w:textAlignment w:val="center"/>
              <w:rPr>
                <w:rFonts w:hint="eastAsia" w:ascii="宋体" w:hAnsi="宋体" w:eastAsia="宋体"/>
                <w:b/>
                <w:color w:val="auto"/>
                <w:sz w:val="36"/>
              </w:rPr>
            </w:pPr>
            <w:r>
              <w:rPr>
                <w:rFonts w:hint="eastAsia" w:ascii="宋体" w:hAnsi="宋体" w:eastAsia="宋体"/>
                <w:b/>
                <w:color w:val="auto"/>
                <w:kern w:val="0"/>
                <w:sz w:val="36"/>
              </w:rPr>
              <w:t>佛山市南海区建筑行业先进企业(施工)评分表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1" w:hRule="atLeast"/>
        </w:trPr>
        <w:tc>
          <w:tcPr>
            <w:tcW w:w="14420" w:type="dxa"/>
            <w:gridSpan w:val="7"/>
            <w:tcBorders>
              <w:top w:val="nil"/>
              <w:left w:val="nil"/>
              <w:bottom w:val="nil"/>
              <w:right w:val="nil"/>
              <w:tl2br w:val="nil"/>
              <w:tr2bl w:val="nil"/>
            </w:tcBorders>
            <w:noWrap w:val="0"/>
            <w:vAlign w:val="center"/>
          </w:tcPr>
          <w:p>
            <w:pPr>
              <w:widowControl/>
              <w:spacing w:beforeLines="0" w:afterLines="0"/>
              <w:jc w:val="left"/>
              <w:textAlignment w:val="center"/>
              <w:rPr>
                <w:rFonts w:hint="eastAsia" w:ascii="宋体" w:hAnsi="宋体" w:eastAsia="宋体"/>
                <w:b/>
                <w:color w:val="auto"/>
                <w:sz w:val="24"/>
              </w:rPr>
            </w:pPr>
            <w:r>
              <w:rPr>
                <w:rFonts w:hint="eastAsia" w:ascii="宋体" w:hAnsi="宋体" w:eastAsia="宋体"/>
                <w:b/>
                <w:color w:val="auto"/>
                <w:kern w:val="0"/>
                <w:sz w:val="24"/>
              </w:rPr>
              <w:t xml:space="preserve">评选单位：                                             得分：               评分专家签名：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序号</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评价项目</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评价指标</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标准分</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评分标准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评审得分</w:t>
            </w: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企业规模</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5.0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资质等级</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具备一项总承包资质的得基准分1分；每增加一项总承包资质的得1分，每增加一项其它专业资质的得0.5分。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以企业资质证书为准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2</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净资产</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上一年度净资产达到最高资质规定标准的得1.0分；每增加资质规定标准50%的再加0.5分。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以企业年度财务报告或统计报表、税局开具的纳税证明为准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3</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经济效益</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纳税额度</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企业在本辖区内上一年度缴纳税收达人民币300万元以下的得5分；达人民币300万元以上的得8分；每增加人民币100万元的加1分，最高得10分。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4</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技术能力</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6.0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技术人员</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技术人员数量符合现行的资质规定要求的得3分，</w:t>
            </w:r>
            <w:r>
              <w:rPr>
                <w:rFonts w:hint="eastAsia" w:ascii="仿宋_GB2312" w:hAnsi="宋体" w:eastAsia="仿宋_GB2312"/>
                <w:color w:val="auto"/>
                <w:kern w:val="0"/>
                <w:sz w:val="21"/>
              </w:rPr>
              <w:t>不符合的不得分</w:t>
            </w:r>
            <w:r>
              <w:rPr>
                <w:rFonts w:hint="default" w:ascii="仿宋_GB2312" w:hAnsi="宋体" w:eastAsia="仿宋_GB2312"/>
                <w:color w:val="auto"/>
                <w:kern w:val="0"/>
                <w:sz w:val="21"/>
              </w:rPr>
              <w:t>。</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企业提供相应名单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6"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5</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技术进步</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在本辖区内承建的项目施工过程中使用了建筑业10项新技术、新材料、新工艺的得1分，每取得一项国家级、省级以及市级技术标准、科学技术进步奖、技术中心、科技示范工程、QC成果、工法等的，分别得0.5分，最高得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以相关部门颁发给企业的证明材料为准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6</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经营能力</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净资产收</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益率</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本项基准分1.0分；净资产收益率超过15%后每增加1个百分点的再加0.2分；低于10%后每减少1个百分点的扣0.2分。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nil"/>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以企业年度财务报告或统计报表为准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7</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资产负债率</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本项基准分0.5分；资产负债率低于60%后每减少5个百分点的再加0.1分；高于60%后每增加5个百分点的扣0.1分。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8"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8</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企业管理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规章制度</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建立完善、有针对性的组织机构、岗位责任制、人员管理、合同管理、机械设备管理、材料管理、档案管理、工程质量管理、安全生产管理、文明施工管理、职业病危害管理、廉政管理、财务管理以及工程款结算和工资支付等制度的，按比例得分，最高得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9</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管理体系</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通过质量、环境、职业健康安全体系认证的，通过其中一个体系认证的得1分，最高得3分。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10</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信息化管理</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在建工程施工现场使用用工实名制信息化管理系统的，得2分。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11</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质量安全</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管理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质量管理</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行为</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8.0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质量管理制度制订有针对性并落实执行的，得8分。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12</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安全文明施工管理行为</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8.0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安全文明施工管理制度制订有针对性并落实执行的，得8分。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13</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应急预案</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4.0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质量安全事故应急救援预案制订有针对性并落实执行的，得</w:t>
            </w:r>
            <w:r>
              <w:rPr>
                <w:rFonts w:hint="eastAsia" w:ascii="仿宋_GB2312" w:hAnsi="宋体" w:eastAsia="仿宋_GB2312"/>
                <w:color w:val="auto"/>
                <w:kern w:val="0"/>
                <w:sz w:val="21"/>
                <w:lang w:val="en-US" w:eastAsia="zh-CN"/>
              </w:rPr>
              <w:t>4</w:t>
            </w:r>
            <w:r>
              <w:rPr>
                <w:rFonts w:hint="default" w:ascii="仿宋_GB2312" w:hAnsi="宋体" w:eastAsia="仿宋_GB2312"/>
                <w:color w:val="auto"/>
                <w:kern w:val="0"/>
                <w:sz w:val="21"/>
              </w:rPr>
              <w:t>分。</w:t>
            </w:r>
            <w:bookmarkStart w:id="0" w:name="_GoBack"/>
            <w:bookmarkEnd w:id="0"/>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14</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市场行为</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合同履行</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color w:val="auto"/>
                <w:sz w:val="21"/>
              </w:rPr>
            </w:pPr>
            <w:r>
              <w:rPr>
                <w:rFonts w:hint="eastAsia" w:ascii="仿宋_GB2312" w:hAnsi="宋体" w:eastAsia="仿宋_GB2312"/>
                <w:color w:val="auto"/>
                <w:kern w:val="0"/>
                <w:sz w:val="21"/>
              </w:rPr>
              <w:t>合法经营，无受过行政主管部门处罚的得基准分4分；获得工商管理部门颁发的“守合同重信用企业”称号的：连续4年至6年的加0.5分，连续7年至9年的加1分，最高得5分。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15</w:t>
            </w: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各类表彰</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符合下列标准的，按分值得分，本项最高得5分：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1、获得过区级以上建设行政主管部门各类表彰的得5分；</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2、获得市级以上建筑业协会、市政协会、园林协会等各类表彰的得3分；</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3、协助过本协会承办各类演练、观摩的得3分；</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4、参加过本协会举办的各类比赛的得1分。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以企业或协会提供的相关证明为准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16</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信用评价</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15.0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诚信管理</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在佛山市建筑行业诚信管理平台最新考评年度考评等级为B级以上的得基准分10分；考评等级为A级的再加5分，最高得15分。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以佛山市建筑行业诚信管理平台数据为准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0" w:hRule="atLeast"/>
        </w:trPr>
        <w:tc>
          <w:tcPr>
            <w:tcW w:w="52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17</w:t>
            </w:r>
          </w:p>
        </w:tc>
        <w:tc>
          <w:tcPr>
            <w:tcW w:w="9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业绩10.0</w:t>
            </w:r>
          </w:p>
        </w:tc>
        <w:tc>
          <w:tcPr>
            <w:tcW w:w="108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合同金额</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或中标项</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color w:val="auto"/>
                <w:sz w:val="21"/>
              </w:rPr>
            </w:pPr>
            <w:r>
              <w:rPr>
                <w:rFonts w:hint="eastAsia" w:ascii="仿宋_GB2312" w:hAnsi="宋体" w:eastAsia="仿宋_GB2312"/>
                <w:color w:val="auto"/>
                <w:kern w:val="0"/>
                <w:sz w:val="21"/>
              </w:rPr>
              <w:t>（最高得10分）</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符合下列标准之一的，可得10分：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1、2018年承建的房屋建筑工程或市政工程项目，单项合同额达人民币5000万元以上的；</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2、2018年承建的安装工程、装饰装修工程、园林绿化工程，单项合同额达</w:t>
            </w:r>
            <w:r>
              <w:rPr>
                <w:rFonts w:hint="eastAsia" w:ascii="仿宋_GB2312" w:hAnsi="宋体" w:eastAsia="仿宋_GB2312"/>
                <w:color w:val="auto"/>
                <w:kern w:val="0"/>
                <w:sz w:val="21"/>
              </w:rPr>
              <w:t>人民币</w:t>
            </w:r>
            <w:r>
              <w:rPr>
                <w:rFonts w:hint="default" w:ascii="仿宋_GB2312" w:hAnsi="宋体" w:eastAsia="仿宋_GB2312"/>
                <w:color w:val="auto"/>
                <w:kern w:val="0"/>
                <w:sz w:val="21"/>
              </w:rPr>
              <w:t>2000万元以上的；</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3、2018年累计承接的工程合同额达到</w:t>
            </w:r>
            <w:r>
              <w:rPr>
                <w:rFonts w:hint="eastAsia" w:ascii="仿宋_GB2312" w:hAnsi="宋体" w:eastAsia="仿宋_GB2312"/>
                <w:color w:val="auto"/>
                <w:kern w:val="0"/>
                <w:sz w:val="21"/>
              </w:rPr>
              <w:t>人民币</w:t>
            </w:r>
            <w:r>
              <w:rPr>
                <w:rFonts w:hint="default" w:ascii="仿宋_GB2312" w:hAnsi="宋体" w:eastAsia="仿宋_GB2312"/>
                <w:color w:val="auto"/>
                <w:kern w:val="0"/>
                <w:sz w:val="21"/>
              </w:rPr>
              <w:t>1亿元以上的。</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提供施工许可证或中标通知书（中标通知书必须是由工程当地集中交易机构或招标投标管理部门核发方为有效）及施工合同的复印件相关页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5" w:hRule="atLeast"/>
        </w:trPr>
        <w:tc>
          <w:tcPr>
            <w:tcW w:w="52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符合下列标准之一的，可得5分：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1、2018年承建的房屋建筑工程或市政工程项目，单项合同额达人民币2000万元以上5000万元以下的；</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2、2018年承建的安装工程、装饰装修工程、园林绿化工程，单项合同额达人民币500万元以上2000万元以下的；</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3、2018年累计承接的工程合同额达到人民币8000万元以上的；</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color w:val="auto"/>
                <w:sz w:val="21"/>
              </w:rPr>
            </w:pPr>
            <w:r>
              <w:rPr>
                <w:rFonts w:hint="eastAsia" w:ascii="仿宋_GB2312" w:hAnsi="宋体" w:eastAsia="仿宋_GB2312"/>
                <w:color w:val="auto"/>
                <w:kern w:val="0"/>
                <w:sz w:val="21"/>
              </w:rPr>
              <w:t>4、2018年中标的工程项目3个以上的。</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66" w:hRule="atLeast"/>
        </w:trPr>
        <w:tc>
          <w:tcPr>
            <w:tcW w:w="52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9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符合下列标准之一的，可得3分：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eastAsia" w:ascii="仿宋_GB2312" w:hAnsi="宋体" w:eastAsia="仿宋_GB2312"/>
                <w:color w:val="auto"/>
                <w:kern w:val="0"/>
                <w:sz w:val="21"/>
              </w:rPr>
            </w:pPr>
            <w:r>
              <w:rPr>
                <w:rFonts w:hint="eastAsia" w:ascii="仿宋_GB2312" w:hAnsi="宋体" w:eastAsia="仿宋_GB2312"/>
                <w:color w:val="auto"/>
                <w:kern w:val="0"/>
                <w:sz w:val="21"/>
              </w:rPr>
              <w:t>1、2018年承建的房屋建筑工程或市政工程项目，单项合同额达人民币2000万元以下的；</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2、2018年承建的安装工程、装饰装修工程、园林绿化工程，单项合同额达人民币500万元以下的；</w:t>
            </w:r>
            <w:r>
              <w:rPr>
                <w:rFonts w:hint="eastAsia" w:ascii="仿宋_GB2312" w:hAnsi="宋体" w:eastAsia="仿宋_GB2312"/>
                <w:color w:val="auto"/>
                <w:kern w:val="0"/>
                <w:sz w:val="21"/>
              </w:rPr>
              <w:br w:type="textWrapping"/>
            </w:r>
            <w:r>
              <w:rPr>
                <w:rFonts w:hint="eastAsia" w:ascii="仿宋_GB2312" w:hAnsi="宋体" w:eastAsia="仿宋_GB2312"/>
                <w:color w:val="auto"/>
                <w:kern w:val="0"/>
                <w:sz w:val="21"/>
              </w:rPr>
              <w:t>3、2018年累计承接的工程合同额达人民币5000万元以上的；</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color w:val="auto"/>
                <w:sz w:val="21"/>
              </w:rPr>
            </w:pPr>
            <w:r>
              <w:rPr>
                <w:rFonts w:hint="eastAsia" w:ascii="仿宋_GB2312" w:hAnsi="宋体" w:eastAsia="仿宋_GB2312"/>
                <w:color w:val="auto"/>
                <w:kern w:val="0"/>
                <w:sz w:val="21"/>
              </w:rPr>
              <w:t>4、2018年中标的工程项目3个以下的。</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8"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18</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企业发展</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5.0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企业资质</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升级</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符合下列标准的，按分值得分，最高得5分：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1、总承包施工单位资质升级的得5分；专业承包单位资质升级的得3分；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2、在本辖区内报建项目获得省级及以上建筑类奖励的得5分；获得市级建筑类奖励的得3分。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6"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19</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社会行为</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6.0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社会服务</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6.0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1、参加过抗震、救灾等工作的得3分。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2、参加过本协会组织的捐赠帮扶等慈善活动的得3分。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8"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20</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加分项</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支持协会</w:t>
            </w:r>
          </w:p>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工作</w:t>
            </w: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21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1、在本协会按时缴交会费，无拖欠会费的加2分；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2、在本协会中担任副会长（含副会长）以上的加2分；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3、积极参加本协会发动、号召及组织的各类活动或主动配合、帮助本协会完成年度各项工作的加3分；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4、积极为本协会的发展和运作建言或出谋划策的加3分。</w:t>
            </w: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1" w:hRule="atLeast"/>
        </w:trPr>
        <w:tc>
          <w:tcPr>
            <w:tcW w:w="52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b/>
                <w:color w:val="auto"/>
                <w:kern w:val="0"/>
                <w:sz w:val="21"/>
              </w:rPr>
              <w:t>汇总</w:t>
            </w:r>
          </w:p>
        </w:tc>
        <w:tc>
          <w:tcPr>
            <w:tcW w:w="9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85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rPr>
                <w:rFonts w:hint="default" w:ascii="仿宋_GB2312" w:hAnsi="宋体" w:eastAsia="仿宋_GB2312"/>
                <w:color w:val="auto"/>
                <w:sz w:val="21"/>
              </w:rPr>
            </w:pPr>
          </w:p>
        </w:tc>
        <w:tc>
          <w:tcPr>
            <w:tcW w:w="9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1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9" w:hRule="atLeast"/>
        </w:trPr>
        <w:tc>
          <w:tcPr>
            <w:tcW w:w="14420" w:type="dxa"/>
            <w:gridSpan w:val="7"/>
            <w:tcBorders>
              <w:top w:val="nil"/>
              <w:left w:val="nil"/>
              <w:bottom w:val="nil"/>
              <w:right w:val="nil"/>
              <w:tl2br w:val="nil"/>
              <w:tr2bl w:val="nil"/>
            </w:tcBorders>
            <w:noWrap w:val="0"/>
            <w:vAlign w:val="center"/>
          </w:tcPr>
          <w:p>
            <w:pPr>
              <w:widowControl/>
              <w:spacing w:beforeLines="0" w:afterLines="0"/>
              <w:jc w:val="left"/>
              <w:textAlignment w:val="center"/>
              <w:rPr>
                <w:rFonts w:hint="eastAsia" w:ascii="仿宋_GB2312" w:hAnsi="宋体" w:eastAsia="仿宋_GB2312"/>
                <w:color w:val="auto"/>
                <w:kern w:val="0"/>
                <w:sz w:val="22"/>
              </w:rPr>
            </w:pPr>
            <w:r>
              <w:rPr>
                <w:rFonts w:hint="default" w:ascii="仿宋_GB2312" w:hAnsi="宋体" w:eastAsia="仿宋_GB2312"/>
                <w:color w:val="auto"/>
                <w:kern w:val="0"/>
                <w:sz w:val="22"/>
              </w:rPr>
              <w:t>注：1、各项评价指标未达到基本要求的不得分，每项最高得分不超过该项标准分，“以上”包含本数，“以下”不包含本数，</w:t>
            </w:r>
            <w:r>
              <w:rPr>
                <w:rFonts w:hint="eastAsia" w:ascii="仿宋_GB2312" w:hAnsi="宋体" w:eastAsia="仿宋_GB2312"/>
                <w:color w:val="auto"/>
                <w:kern w:val="0"/>
                <w:sz w:val="22"/>
              </w:rPr>
              <w:t>最低得分为0分，不</w:t>
            </w:r>
          </w:p>
          <w:p>
            <w:pPr>
              <w:widowControl/>
              <w:spacing w:beforeLines="0" w:afterLines="0"/>
              <w:ind w:firstLine="838" w:firstLineChars="381"/>
              <w:jc w:val="left"/>
              <w:textAlignment w:val="center"/>
              <w:rPr>
                <w:rFonts w:hint="default" w:ascii="仿宋_GB2312" w:hAnsi="宋体" w:eastAsia="仿宋_GB2312"/>
                <w:color w:val="auto"/>
                <w:sz w:val="22"/>
              </w:rPr>
            </w:pPr>
            <w:r>
              <w:rPr>
                <w:rFonts w:hint="eastAsia" w:ascii="仿宋_GB2312" w:hAnsi="宋体" w:eastAsia="仿宋_GB2312"/>
                <w:color w:val="auto"/>
                <w:kern w:val="0"/>
                <w:sz w:val="22"/>
              </w:rPr>
              <w:t>出现负分。</w:t>
            </w:r>
            <w:r>
              <w:rPr>
                <w:rFonts w:hint="default" w:ascii="仿宋_GB2312" w:hAnsi="宋体" w:eastAsia="仿宋_GB2312"/>
                <w:color w:val="auto"/>
                <w:kern w:val="0"/>
                <w:sz w:val="22"/>
              </w:rPr>
              <w:br w:type="textWrapping"/>
            </w:r>
            <w:r>
              <w:rPr>
                <w:rFonts w:hint="default" w:ascii="仿宋_GB2312" w:hAnsi="宋体" w:eastAsia="仿宋_GB2312"/>
                <w:color w:val="auto"/>
                <w:kern w:val="0"/>
                <w:sz w:val="22"/>
              </w:rPr>
              <w:t xml:space="preserve">    2、项目实行实名制的，施工单位应提供实名制相关资料，市政单位应提供工人工资分账管理相关材料。</w:t>
            </w:r>
            <w:r>
              <w:rPr>
                <w:rFonts w:hint="default" w:ascii="仿宋_GB2312" w:hAnsi="宋体" w:eastAsia="仿宋_GB2312"/>
                <w:color w:val="auto"/>
                <w:kern w:val="0"/>
                <w:sz w:val="22"/>
              </w:rPr>
              <w:br w:type="textWrapping"/>
            </w:r>
            <w:r>
              <w:rPr>
                <w:rFonts w:hint="default" w:ascii="仿宋_GB2312" w:hAnsi="宋体" w:eastAsia="仿宋_GB2312"/>
                <w:color w:val="auto"/>
                <w:kern w:val="0"/>
                <w:sz w:val="22"/>
              </w:rPr>
              <w:t xml:space="preserve">    3、以上资料均提供复印件（加盖公章），相关原件现场核对后退回。</w:t>
            </w:r>
          </w:p>
        </w:tc>
      </w:tr>
    </w:tbl>
    <w:p>
      <w:pPr>
        <w:snapToGrid w:val="0"/>
        <w:spacing w:beforeLines="0" w:afterLines="0" w:line="240" w:lineRule="atLeast"/>
        <w:rPr>
          <w:rFonts w:hint="eastAsia" w:ascii="黑体" w:hAnsi="黑体" w:eastAsia="黑体"/>
          <w:color w:val="auto"/>
          <w:sz w:val="32"/>
        </w:rPr>
      </w:pPr>
    </w:p>
    <w:tbl>
      <w:tblPr>
        <w:tblStyle w:val="15"/>
        <w:tblW w:w="14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4"/>
        <w:gridCol w:w="1270"/>
        <w:gridCol w:w="1300"/>
        <w:gridCol w:w="798"/>
        <w:gridCol w:w="7613"/>
        <w:gridCol w:w="1110"/>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280" w:type="dxa"/>
            <w:gridSpan w:val="7"/>
            <w:tcBorders>
              <w:top w:val="nil"/>
              <w:left w:val="nil"/>
              <w:bottom w:val="nil"/>
              <w:right w:val="nil"/>
              <w:tl2br w:val="nil"/>
              <w:tr2bl w:val="nil"/>
            </w:tcBorders>
            <w:noWrap w:val="0"/>
            <w:vAlign w:val="center"/>
          </w:tcPr>
          <w:p>
            <w:pPr>
              <w:pStyle w:val="2"/>
              <w:ind w:left="0" w:leftChars="0" w:firstLine="0" w:firstLineChars="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附件3</w:t>
            </w:r>
          </w:p>
          <w:p>
            <w:pPr>
              <w:widowControl/>
              <w:spacing w:beforeLines="0" w:afterLines="0"/>
              <w:jc w:val="center"/>
              <w:textAlignment w:val="center"/>
              <w:rPr>
                <w:rFonts w:hint="eastAsia" w:ascii="宋体" w:hAnsi="宋体" w:eastAsia="宋体"/>
                <w:b/>
                <w:color w:val="auto"/>
                <w:sz w:val="36"/>
              </w:rPr>
            </w:pPr>
            <w:r>
              <w:rPr>
                <w:rFonts w:hint="eastAsia" w:ascii="宋体" w:hAnsi="宋体" w:eastAsia="宋体"/>
                <w:b/>
                <w:color w:val="auto"/>
                <w:kern w:val="0"/>
                <w:sz w:val="36"/>
              </w:rPr>
              <w:t>佛山市南海区建筑业先进企业（监理）评分表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4280" w:type="dxa"/>
            <w:gridSpan w:val="7"/>
            <w:tcBorders>
              <w:top w:val="nil"/>
              <w:left w:val="nil"/>
              <w:bottom w:val="nil"/>
              <w:right w:val="nil"/>
              <w:tl2br w:val="nil"/>
              <w:tr2bl w:val="nil"/>
            </w:tcBorders>
            <w:noWrap w:val="0"/>
            <w:vAlign w:val="center"/>
          </w:tcPr>
          <w:p>
            <w:pPr>
              <w:widowControl/>
              <w:spacing w:beforeLines="0" w:afterLines="0"/>
              <w:jc w:val="left"/>
              <w:textAlignment w:val="center"/>
              <w:rPr>
                <w:rFonts w:hint="eastAsia" w:ascii="宋体" w:hAnsi="宋体" w:eastAsia="宋体"/>
                <w:b/>
                <w:color w:val="auto"/>
                <w:sz w:val="24"/>
              </w:rPr>
            </w:pPr>
            <w:r>
              <w:rPr>
                <w:rFonts w:hint="eastAsia" w:ascii="宋体" w:hAnsi="宋体" w:eastAsia="宋体"/>
                <w:b/>
                <w:color w:val="auto"/>
                <w:kern w:val="0"/>
                <w:sz w:val="24"/>
              </w:rPr>
              <w:t xml:space="preserve">评选单位：                                    得分：                   评分专家签名：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序号</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评价项目</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评价指标</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标准分</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评分标准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评审得分</w:t>
            </w: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b/>
                <w:color w:val="auto"/>
                <w:sz w:val="22"/>
              </w:rPr>
            </w:pPr>
            <w:r>
              <w:rPr>
                <w:rFonts w:hint="default" w:ascii="仿宋_GB2312" w:hAnsi="宋体" w:eastAsia="仿宋_GB2312"/>
                <w:b/>
                <w:color w:val="auto"/>
                <w:kern w:val="0"/>
                <w:sz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1"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w:t>
            </w:r>
          </w:p>
        </w:tc>
        <w:tc>
          <w:tcPr>
            <w:tcW w:w="127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企业规模</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资质等级</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6.0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取得监理乙级资质的得4分；取得监理甲级资质的得5分；每增加一项监理乙级或甲级资质的加1分，最高得6分。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以企业资质证书为准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6"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2</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注册资金</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4.0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企业注册资金达人民币50万以下的得1分；50-100万元的得2分；100万元-300万的得3分；300万以上的得4分。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以企业营业执照为准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8"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3</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经济效益</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12.0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纳税额度</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12.0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企业在本辖区内依法纳税得基准分9分；上一年度上缴税收达人民币150万元以上的加3分，最高得12分。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以相关纳税证明或企业年度财务统计报表为准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6"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4</w:t>
            </w:r>
          </w:p>
        </w:tc>
        <w:tc>
          <w:tcPr>
            <w:tcW w:w="127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技术能力</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7.0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技术人员</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技术人员数量符合现行的资质规定要求的得5分，不符合的不得分。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企业提供相应名单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2"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5</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优秀人员</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技术人员每取得一项上一年度（以获奖证书颁发时间为准）市级（或以上）的优秀人员奖项的得2分。（同一人员按最高奖项计算）</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以相关部门颁发给企业的证明材料、人员岗位证书和企业为相关人员购买社保的证明为准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6</w:t>
            </w:r>
          </w:p>
        </w:tc>
        <w:tc>
          <w:tcPr>
            <w:tcW w:w="127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经营能力</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8.0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净资产收益率</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4.0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本项基准分3.0分；净资产收益率超过20%后每增加1个百分点的再得0.4分，最高得4分。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以企业年度财务统计报表为准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7</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营业收入</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4.0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本项基准分3.0分；营业收入高于人民币2500万元后每增加人民币200万元的再得0.4分，最高得4分。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4"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8</w:t>
            </w:r>
          </w:p>
        </w:tc>
        <w:tc>
          <w:tcPr>
            <w:tcW w:w="127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企业管理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12.0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规章制度</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7.0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建立完善、有针对性的监理工作准则、监理日志及考勤制度、监理例会制度、监理月报制度、设计交底与图纸会审、施工组织设计（方案）审查制度、建筑材料进场质量控制、施工现场旁站与巡视、工程检查验收签证、质量安全事故报告和处理、监理资料整理与归档、监理工作考核评价、安全教育培训和考试管理、安全生产管理、安全作业行为规范等制度的按比例得分，最高得7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restart"/>
            <w:tcBorders>
              <w:top w:val="nil"/>
              <w:left w:val="single" w:color="000000"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9</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管理体系</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3.0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通过质量、环境、职业健康安全体系认证的</w:t>
            </w:r>
            <w:r>
              <w:rPr>
                <w:rFonts w:hint="eastAsia" w:ascii="仿宋_GB2312" w:hAnsi="宋体" w:eastAsia="仿宋_GB2312"/>
                <w:color w:val="auto"/>
                <w:kern w:val="0"/>
                <w:sz w:val="21"/>
              </w:rPr>
              <w:t>按比例得分，</w:t>
            </w:r>
            <w:r>
              <w:rPr>
                <w:rFonts w:hint="default" w:ascii="仿宋_GB2312" w:hAnsi="宋体" w:eastAsia="仿宋_GB2312"/>
                <w:color w:val="auto"/>
                <w:kern w:val="0"/>
                <w:sz w:val="21"/>
              </w:rPr>
              <w:t>最高得3分。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nil"/>
              <w:left w:val="single" w:color="000000"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10</w:t>
            </w:r>
          </w:p>
        </w:tc>
        <w:tc>
          <w:tcPr>
            <w:tcW w:w="127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管理手段</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2.0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企业建有网站或微信公众号或采用信息管理化OA管理系统或其它信息化管理系统的得2分。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nil"/>
              <w:left w:val="single" w:color="000000"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0"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11</w:t>
            </w:r>
          </w:p>
        </w:tc>
        <w:tc>
          <w:tcPr>
            <w:tcW w:w="1270" w:type="dxa"/>
            <w:vMerge w:val="restart"/>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质量安全管理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20.0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质量管理行为</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质量通病防治细则、监理旁站方案制订有针对性并落实执行的得基准分8分；所监理的项目获得上一年度（以获奖证书颁发时间为准）市级以上质量奖项，或上一年度在市建设行政主管部门组织的各项检查中受到1次以上通报表扬或在区建设行政主管部门组织的各项检查中受到2次以上通报表扬的得2分（同一工程按最高奖项计，不重复计分</w:t>
            </w:r>
            <w:r>
              <w:rPr>
                <w:rFonts w:hint="eastAsia" w:ascii="仿宋_GB2312" w:hAnsi="宋体" w:eastAsia="仿宋_GB2312"/>
                <w:color w:val="auto"/>
                <w:kern w:val="0"/>
                <w:sz w:val="21"/>
              </w:rPr>
              <w:t>），最高得10分。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nil"/>
              <w:left w:val="single" w:color="000000" w:sz="4" w:space="0"/>
              <w:bottom w:val="single" w:color="000000"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00" w:hRule="atLeast"/>
        </w:trPr>
        <w:tc>
          <w:tcPr>
            <w:tcW w:w="564"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12</w:t>
            </w:r>
          </w:p>
        </w:tc>
        <w:tc>
          <w:tcPr>
            <w:tcW w:w="1270" w:type="dxa"/>
            <w:vMerge w:val="continue"/>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安全文明施工管理行为</w:t>
            </w:r>
          </w:p>
        </w:tc>
        <w:tc>
          <w:tcPr>
            <w:tcW w:w="798"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7613"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安全监理实施细则、安全监理方案制订有针对性并落实执行的得基准分8分；所监理的项目获得上一年度（以获奖证书颁发时间为准）市级以上安全文明施工奖项，或上一年度在市建设行政主管部门组织的各项检查中受到1次以上通报表扬或在区建设行政主管部门组织的各项检查中受到2次以上通报表扬的得2分。</w:t>
            </w:r>
            <w:r>
              <w:rPr>
                <w:rFonts w:hint="eastAsia" w:ascii="仿宋_GB2312" w:hAnsi="宋体" w:eastAsia="仿宋_GB2312"/>
                <w:color w:val="auto"/>
                <w:kern w:val="0"/>
                <w:sz w:val="21"/>
              </w:rPr>
              <w:t>（同一工程按最高奖项计，不重复计分），最高得10分。</w:t>
            </w:r>
          </w:p>
        </w:tc>
        <w:tc>
          <w:tcPr>
            <w:tcW w:w="1110" w:type="dxa"/>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nil"/>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564" w:type="dxa"/>
            <w:tcBorders>
              <w:top w:val="single" w:color="auto"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13</w:t>
            </w:r>
          </w:p>
        </w:tc>
        <w:tc>
          <w:tcPr>
            <w:tcW w:w="1270" w:type="dxa"/>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市场行为</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300"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合同履行</w:t>
            </w:r>
          </w:p>
        </w:tc>
        <w:tc>
          <w:tcPr>
            <w:tcW w:w="798"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7613"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合法经营，无受过行政主管部门处罚的得基准分4分；获得工商管理部门颁发的“守合同重信用企业”称号：连续4年至6年的加0.5分，连续7年至9年的加1分，</w:t>
            </w:r>
            <w:r>
              <w:rPr>
                <w:rFonts w:hint="eastAsia" w:ascii="仿宋_GB2312" w:hAnsi="宋体" w:eastAsia="仿宋_GB2312"/>
                <w:color w:val="auto"/>
                <w:kern w:val="0"/>
                <w:sz w:val="21"/>
              </w:rPr>
              <w:t>最高得5分。</w:t>
            </w:r>
          </w:p>
        </w:tc>
        <w:tc>
          <w:tcPr>
            <w:tcW w:w="1110"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vMerge w:val="continue"/>
            <w:tcBorders>
              <w:top w:val="single" w:color="auto" w:sz="4" w:space="0"/>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4" w:hRule="atLeast"/>
        </w:trPr>
        <w:tc>
          <w:tcPr>
            <w:tcW w:w="564"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14</w:t>
            </w:r>
          </w:p>
        </w:tc>
        <w:tc>
          <w:tcPr>
            <w:tcW w:w="1270" w:type="dxa"/>
            <w:vMerge w:val="continue"/>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各类表彰</w:t>
            </w:r>
          </w:p>
        </w:tc>
        <w:tc>
          <w:tcPr>
            <w:tcW w:w="798"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5.0 </w:t>
            </w:r>
          </w:p>
        </w:tc>
        <w:tc>
          <w:tcPr>
            <w:tcW w:w="7613"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kern w:val="0"/>
                <w:sz w:val="21"/>
              </w:rPr>
            </w:pPr>
            <w:r>
              <w:rPr>
                <w:rFonts w:hint="default" w:ascii="仿宋_GB2312" w:hAnsi="宋体" w:eastAsia="仿宋_GB2312"/>
                <w:color w:val="auto"/>
                <w:kern w:val="0"/>
                <w:sz w:val="21"/>
              </w:rPr>
              <w:t>符合下列标准的，按分值得分，最高得5分：</w:t>
            </w:r>
          </w:p>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1、获得上一年度（以获奖证书颁发时间为准）区级（含区级）以上建设行政主管部门或建筑行业协会各类表彰的，每项分别得2分；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2、积极协助、参与本协会或监理分会组织相关培训学习、检查、学术讨论，编制相关标准、定额、课题、培训教材、工作办法等的，每次得2分；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3、积极参与本协会组织的各类文件意见收集的，每次得1分。</w:t>
            </w:r>
          </w:p>
        </w:tc>
        <w:tc>
          <w:tcPr>
            <w:tcW w:w="1110"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以企业或协会（监理分会）提供的相关奖励、签到表、检查资料及相关证明文件为准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4"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15</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信用评价</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15.0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诚信管理</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15.0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在佛山市建筑行业诚信管理平台最新考评年度考评等级为B级以上的得基准分10分，考评等级为A级的在基准分上再加5分，最高得15分。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以佛山市建筑行业诚信管理平台数据为准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16</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社会行为</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6.0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社会服务</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6.0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1、参加过抗震、救灾等工作的得3分。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2、参加过本协会组织的捐赠帮扶等慈善活动的得3分。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以企业或协会（监理分会）提供的相关证明材料为准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7"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17</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加分项</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10.0</w:t>
            </w: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支持协会工作</w:t>
            </w: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color w:val="auto"/>
                <w:kern w:val="0"/>
                <w:sz w:val="21"/>
              </w:rPr>
              <w:t xml:space="preserve">10.0 </w:t>
            </w: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210" w:afterLines="0" w:line="260" w:lineRule="exact"/>
              <w:jc w:val="left"/>
              <w:textAlignment w:val="center"/>
              <w:rPr>
                <w:rFonts w:hint="default" w:ascii="仿宋_GB2312" w:hAnsi="宋体" w:eastAsia="仿宋_GB2312"/>
                <w:color w:val="auto"/>
                <w:sz w:val="21"/>
              </w:rPr>
            </w:pPr>
            <w:r>
              <w:rPr>
                <w:rFonts w:hint="eastAsia" w:ascii="仿宋_GB2312" w:hAnsi="宋体" w:eastAsia="仿宋_GB2312"/>
                <w:color w:val="auto"/>
                <w:kern w:val="0"/>
                <w:sz w:val="21"/>
              </w:rPr>
              <w:t>1、在本协会按时缴交会费，无拖欠会费的加2分；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2、在本协会或监理分会中担任副会长（含副会长）以上的加2分；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3、积极参加本协会发动、号召及组织的各类活动或主动配合、帮助本协会完成年度各项工作的加3分；</w:t>
            </w:r>
            <w:r>
              <w:rPr>
                <w:rFonts w:hint="default" w:ascii="仿宋_GB2312" w:hAnsi="宋体" w:eastAsia="仿宋_GB2312"/>
                <w:color w:val="auto"/>
                <w:kern w:val="0"/>
                <w:sz w:val="21"/>
              </w:rPr>
              <w:br w:type="textWrapping"/>
            </w:r>
            <w:r>
              <w:rPr>
                <w:rFonts w:hint="default" w:ascii="仿宋_GB2312" w:hAnsi="宋体" w:eastAsia="仿宋_GB2312"/>
                <w:color w:val="auto"/>
                <w:kern w:val="0"/>
                <w:sz w:val="21"/>
              </w:rPr>
              <w:t>4、积极为本协会的发展和运作建言或出谋划策的加3分。</w:t>
            </w: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left"/>
              <w:textAlignment w:val="center"/>
              <w:rPr>
                <w:rFonts w:hint="default" w:ascii="仿宋_GB2312" w:hAnsi="宋体" w:eastAsia="仿宋_GB2312"/>
                <w:color w:val="auto"/>
                <w:sz w:val="21"/>
              </w:rPr>
            </w:pPr>
            <w:r>
              <w:rPr>
                <w:rFonts w:hint="default" w:ascii="仿宋_GB2312" w:hAnsi="宋体" w:eastAsia="仿宋_GB2312"/>
                <w:color w:val="auto"/>
                <w:kern w:val="0"/>
                <w:sz w:val="21"/>
              </w:rPr>
              <w:t>以企业或协会（监理分会）提供的相关证明材料为准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9" w:hRule="atLeast"/>
        </w:trPr>
        <w:tc>
          <w:tcPr>
            <w:tcW w:w="5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textAlignment w:val="center"/>
              <w:rPr>
                <w:rFonts w:hint="default" w:ascii="仿宋_GB2312" w:hAnsi="宋体" w:eastAsia="仿宋_GB2312"/>
                <w:color w:val="auto"/>
                <w:sz w:val="21"/>
              </w:rPr>
            </w:pPr>
            <w:r>
              <w:rPr>
                <w:rFonts w:hint="default" w:ascii="仿宋_GB2312" w:hAnsi="宋体" w:eastAsia="仿宋_GB2312"/>
                <w:b/>
                <w:color w:val="auto"/>
                <w:kern w:val="0"/>
                <w:sz w:val="21"/>
              </w:rPr>
              <w:t>汇总</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3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9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761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rPr>
                <w:rFonts w:hint="default" w:ascii="仿宋_GB2312" w:hAnsi="宋体" w:eastAsia="仿宋_GB2312"/>
                <w:color w:val="auto"/>
                <w:sz w:val="21"/>
              </w:rPr>
            </w:pPr>
          </w:p>
        </w:tc>
        <w:tc>
          <w:tcPr>
            <w:tcW w:w="111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c>
          <w:tcPr>
            <w:tcW w:w="162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60" w:lineRule="exact"/>
              <w:jc w:val="center"/>
              <w:rPr>
                <w:rFonts w:hint="default" w:ascii="仿宋_GB2312" w:hAnsi="宋体" w:eastAsia="仿宋_GB2312"/>
                <w:color w:val="auto"/>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280" w:type="dxa"/>
            <w:gridSpan w:val="7"/>
            <w:tcBorders>
              <w:top w:val="nil"/>
              <w:left w:val="nil"/>
              <w:bottom w:val="nil"/>
              <w:right w:val="nil"/>
              <w:tl2br w:val="nil"/>
              <w:tr2bl w:val="nil"/>
            </w:tcBorders>
            <w:noWrap w:val="0"/>
            <w:vAlign w:val="center"/>
          </w:tcPr>
          <w:p>
            <w:pPr>
              <w:widowControl/>
              <w:spacing w:beforeLines="0" w:afterLines="0"/>
              <w:jc w:val="left"/>
              <w:textAlignment w:val="center"/>
              <w:rPr>
                <w:rFonts w:hint="default" w:ascii="仿宋_GB2312" w:hAnsi="宋体" w:eastAsia="仿宋_GB2312"/>
                <w:color w:val="auto"/>
                <w:kern w:val="0"/>
                <w:sz w:val="22"/>
              </w:rPr>
            </w:pPr>
            <w:r>
              <w:rPr>
                <w:rFonts w:hint="default" w:ascii="仿宋_GB2312" w:hAnsi="宋体" w:eastAsia="仿宋_GB2312"/>
                <w:color w:val="auto"/>
                <w:kern w:val="0"/>
                <w:sz w:val="22"/>
              </w:rPr>
              <w:t>注：1、各项评价指标未达到基本要求的不得分，每项最高得分不超过该项标准分，“以上”包含本数，“以下”不包含本数，最低得分为0分，不</w:t>
            </w:r>
          </w:p>
          <w:p>
            <w:pPr>
              <w:widowControl/>
              <w:spacing w:beforeLines="0" w:afterLines="0"/>
              <w:ind w:firstLine="838" w:firstLineChars="381"/>
              <w:jc w:val="left"/>
              <w:textAlignment w:val="center"/>
              <w:rPr>
                <w:rFonts w:hint="default" w:ascii="仿宋_GB2312" w:hAnsi="宋体" w:eastAsia="仿宋_GB2312"/>
                <w:color w:val="auto"/>
                <w:sz w:val="22"/>
              </w:rPr>
            </w:pPr>
            <w:r>
              <w:rPr>
                <w:rFonts w:hint="default" w:ascii="仿宋_GB2312" w:hAnsi="宋体" w:eastAsia="仿宋_GB2312"/>
                <w:color w:val="auto"/>
                <w:kern w:val="0"/>
                <w:sz w:val="22"/>
              </w:rPr>
              <w:t>出现负分。</w:t>
            </w:r>
            <w:r>
              <w:rPr>
                <w:rFonts w:hint="default" w:ascii="仿宋_GB2312" w:hAnsi="宋体" w:eastAsia="仿宋_GB2312"/>
                <w:color w:val="auto"/>
                <w:kern w:val="0"/>
                <w:sz w:val="22"/>
              </w:rPr>
              <w:br w:type="textWrapping"/>
            </w:r>
            <w:r>
              <w:rPr>
                <w:rFonts w:hint="default" w:ascii="仿宋_GB2312" w:hAnsi="宋体" w:eastAsia="仿宋_GB2312"/>
                <w:color w:val="auto"/>
                <w:kern w:val="0"/>
                <w:sz w:val="22"/>
              </w:rPr>
              <w:t xml:space="preserve">    2、</w:t>
            </w:r>
            <w:r>
              <w:rPr>
                <w:rFonts w:hint="eastAsia" w:ascii="仿宋_GB2312" w:hAnsi="宋体" w:eastAsia="仿宋_GB2312"/>
                <w:color w:val="auto"/>
                <w:kern w:val="0"/>
                <w:sz w:val="22"/>
              </w:rPr>
              <w:t>以上资料均提供复印件（加盖公章），相关原件现场核对后退回。</w:t>
            </w:r>
          </w:p>
        </w:tc>
      </w:tr>
    </w:tbl>
    <w:p>
      <w:pPr>
        <w:spacing w:beforeLines="0" w:afterLines="0"/>
        <w:rPr>
          <w:rFonts w:hint="default"/>
          <w:color w:val="auto"/>
          <w:sz w:val="21"/>
        </w:rPr>
      </w:pPr>
    </w:p>
    <w:p>
      <w:pPr>
        <w:rPr>
          <w:color w:val="auto"/>
        </w:rPr>
      </w:pPr>
    </w:p>
    <w:p/>
    <w:sectPr>
      <w:pgSz w:w="16838" w:h="11906" w:orient="landscape"/>
      <w:pgMar w:top="1803" w:right="1304" w:bottom="1485"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spacing w:beforeLines="0" w:afterLines="0"/>
      <w:rPr>
        <w:rStyle w:val="8"/>
        <w:rFonts w:hint="default"/>
        <w:sz w:val="18"/>
      </w:rPr>
    </w:pPr>
    <w:r>
      <w:rPr>
        <w:rFonts w:hint="default"/>
        <w:sz w:val="18"/>
      </w:rPr>
      <w:fldChar w:fldCharType="begin"/>
    </w:r>
    <w:r>
      <w:rPr>
        <w:rStyle w:val="8"/>
        <w:rFonts w:hint="default"/>
        <w:sz w:val="18"/>
      </w:rPr>
      <w:instrText xml:space="preserve">PAGE  </w:instrText>
    </w:r>
    <w:r>
      <w:rPr>
        <w:rFonts w:hint="default"/>
        <w:sz w:val="18"/>
      </w:rPr>
      <w:fldChar w:fldCharType="separate"/>
    </w:r>
    <w:r>
      <w:rPr>
        <w:rStyle w:val="8"/>
        <w:rFonts w:hint="default"/>
        <w:sz w:val="18"/>
      </w:rPr>
      <w:t>1</w:t>
    </w:r>
    <w:r>
      <w:rPr>
        <w:rFonts w:hint="default"/>
        <w:sz w:val="18"/>
      </w:rPr>
      <w:fldChar w:fldCharType="end"/>
    </w:r>
  </w:p>
  <w:p>
    <w:pPr>
      <w:pStyle w:val="3"/>
      <w:spacing w:beforeLines="0" w:afterLines="0"/>
      <w:rPr>
        <w:rFonts w:hint="default"/>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Lines="0" w:afterLines="0"/>
      <w:rPr>
        <w:rFonts w:hint="defaul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F6BD"/>
    <w:multiLevelType w:val="singleLevel"/>
    <w:tmpl w:val="20BAF6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98"/>
    <w:rsid w:val="00061224"/>
    <w:rsid w:val="00205F38"/>
    <w:rsid w:val="002A3513"/>
    <w:rsid w:val="002D7298"/>
    <w:rsid w:val="00D14510"/>
    <w:rsid w:val="00E7444B"/>
    <w:rsid w:val="00E771DA"/>
    <w:rsid w:val="01216E64"/>
    <w:rsid w:val="035E0628"/>
    <w:rsid w:val="037E4B40"/>
    <w:rsid w:val="04C86CA0"/>
    <w:rsid w:val="07294D45"/>
    <w:rsid w:val="07506CE6"/>
    <w:rsid w:val="080A2C01"/>
    <w:rsid w:val="08DE7070"/>
    <w:rsid w:val="0AB0047A"/>
    <w:rsid w:val="0B7603EE"/>
    <w:rsid w:val="0E4F0FEB"/>
    <w:rsid w:val="101E4FA2"/>
    <w:rsid w:val="110978CC"/>
    <w:rsid w:val="11291F55"/>
    <w:rsid w:val="125773EC"/>
    <w:rsid w:val="12F6251D"/>
    <w:rsid w:val="145142DF"/>
    <w:rsid w:val="159A1E80"/>
    <w:rsid w:val="15F12397"/>
    <w:rsid w:val="16FF3E27"/>
    <w:rsid w:val="1715256E"/>
    <w:rsid w:val="187231E7"/>
    <w:rsid w:val="18EF7E41"/>
    <w:rsid w:val="1A0C1E1F"/>
    <w:rsid w:val="1A9B0290"/>
    <w:rsid w:val="1F565DAD"/>
    <w:rsid w:val="20725192"/>
    <w:rsid w:val="23EA2CAF"/>
    <w:rsid w:val="24B67058"/>
    <w:rsid w:val="255E068E"/>
    <w:rsid w:val="25DC4EF5"/>
    <w:rsid w:val="27906B94"/>
    <w:rsid w:val="28A84DD9"/>
    <w:rsid w:val="28D0076B"/>
    <w:rsid w:val="2D1414C7"/>
    <w:rsid w:val="2D9B3543"/>
    <w:rsid w:val="30BF11DD"/>
    <w:rsid w:val="31440946"/>
    <w:rsid w:val="314F15F5"/>
    <w:rsid w:val="32775E49"/>
    <w:rsid w:val="34E821EF"/>
    <w:rsid w:val="37BC5334"/>
    <w:rsid w:val="38047A92"/>
    <w:rsid w:val="38AC6D7F"/>
    <w:rsid w:val="3ABA0047"/>
    <w:rsid w:val="3B677134"/>
    <w:rsid w:val="3B78738C"/>
    <w:rsid w:val="3E4E52B1"/>
    <w:rsid w:val="3EC10DF1"/>
    <w:rsid w:val="40DA5E44"/>
    <w:rsid w:val="411769FA"/>
    <w:rsid w:val="41E81EA7"/>
    <w:rsid w:val="44006049"/>
    <w:rsid w:val="46635EAA"/>
    <w:rsid w:val="46962FD4"/>
    <w:rsid w:val="46C23472"/>
    <w:rsid w:val="48481CEF"/>
    <w:rsid w:val="4A4208D6"/>
    <w:rsid w:val="4B627A25"/>
    <w:rsid w:val="4B8664C9"/>
    <w:rsid w:val="4BDB5CE4"/>
    <w:rsid w:val="4C334AC0"/>
    <w:rsid w:val="4C75018C"/>
    <w:rsid w:val="4DD30B52"/>
    <w:rsid w:val="4E6463FE"/>
    <w:rsid w:val="4F9D04F9"/>
    <w:rsid w:val="515D5642"/>
    <w:rsid w:val="517A5E7F"/>
    <w:rsid w:val="58203B9A"/>
    <w:rsid w:val="59541A18"/>
    <w:rsid w:val="5A0E0B8E"/>
    <w:rsid w:val="5AAC58D4"/>
    <w:rsid w:val="5AFD041D"/>
    <w:rsid w:val="5B6D3635"/>
    <w:rsid w:val="5D543BAE"/>
    <w:rsid w:val="5E24463B"/>
    <w:rsid w:val="612F20AC"/>
    <w:rsid w:val="62AB3A9D"/>
    <w:rsid w:val="640A3250"/>
    <w:rsid w:val="642565CF"/>
    <w:rsid w:val="657445B7"/>
    <w:rsid w:val="65906D7F"/>
    <w:rsid w:val="6E945623"/>
    <w:rsid w:val="70562B16"/>
    <w:rsid w:val="70653B21"/>
    <w:rsid w:val="71CD4710"/>
    <w:rsid w:val="73A01D2D"/>
    <w:rsid w:val="73B93022"/>
    <w:rsid w:val="747F1A28"/>
    <w:rsid w:val="74B5432E"/>
    <w:rsid w:val="7550547D"/>
    <w:rsid w:val="75BD7798"/>
    <w:rsid w:val="76333B59"/>
    <w:rsid w:val="76944F48"/>
    <w:rsid w:val="76C94EF9"/>
    <w:rsid w:val="772D3F51"/>
    <w:rsid w:val="78C179E1"/>
    <w:rsid w:val="797940FC"/>
    <w:rsid w:val="7A971890"/>
    <w:rsid w:val="7BC730C7"/>
    <w:rsid w:val="7DD1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pPr>
      <w:keepNext w:val="0"/>
      <w:keepLines w:val="0"/>
      <w:widowControl w:val="0"/>
      <w:suppressLineNumbers w:val="0"/>
      <w:spacing w:before="0" w:beforeAutospacing="0" w:after="0" w:afterAutospacing="0"/>
      <w:ind w:left="420" w:leftChars="200" w:right="0"/>
      <w:jc w:val="both"/>
    </w:pPr>
    <w:rPr>
      <w:rFonts w:hint="default" w:ascii="Calibri" w:hAnsi="Calibri" w:eastAsia="宋体" w:cs="Times New Roman"/>
      <w:kern w:val="2"/>
      <w:sz w:val="21"/>
      <w:szCs w:val="24"/>
      <w:lang w:val="en-US" w:eastAsia="zh-CN" w:bidi="ar"/>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semiHidden/>
    <w:unhideWhenUsed/>
    <w:qFormat/>
    <w:uiPriority w:val="99"/>
    <w:pPr>
      <w:spacing w:before="0" w:beforeAutospacing="0" w:after="150" w:afterAutospacing="0"/>
      <w:ind w:left="0" w:right="0"/>
      <w:jc w:val="left"/>
    </w:pPr>
    <w:rPr>
      <w:kern w:val="0"/>
      <w:sz w:val="24"/>
      <w:lang w:val="en-US" w:eastAsia="zh-CN" w:bidi="ar"/>
    </w:rPr>
  </w:style>
  <w:style w:type="character" w:styleId="7">
    <w:name w:val="Strong"/>
    <w:basedOn w:val="6"/>
    <w:qFormat/>
    <w:uiPriority w:val="22"/>
    <w:rPr>
      <w:b/>
    </w:rPr>
  </w:style>
  <w:style w:type="character" w:styleId="8">
    <w:name w:val="page number"/>
    <w:basedOn w:val="6"/>
    <w:qFormat/>
    <w:uiPriority w:val="0"/>
  </w:style>
  <w:style w:type="character" w:styleId="9">
    <w:name w:val="FollowedHyperlink"/>
    <w:basedOn w:val="6"/>
    <w:semiHidden/>
    <w:unhideWhenUsed/>
    <w:qFormat/>
    <w:uiPriority w:val="99"/>
    <w:rPr>
      <w:color w:val="252525"/>
      <w:u w:val="none"/>
    </w:rPr>
  </w:style>
  <w:style w:type="character" w:styleId="10">
    <w:name w:val="HTML Definition"/>
    <w:basedOn w:val="6"/>
    <w:semiHidden/>
    <w:unhideWhenUsed/>
    <w:qFormat/>
    <w:uiPriority w:val="99"/>
    <w:rPr>
      <w:i/>
    </w:rPr>
  </w:style>
  <w:style w:type="character" w:styleId="11">
    <w:name w:val="Hyperlink"/>
    <w:basedOn w:val="6"/>
    <w:semiHidden/>
    <w:unhideWhenUsed/>
    <w:qFormat/>
    <w:uiPriority w:val="99"/>
    <w:rPr>
      <w:color w:val="252525"/>
      <w:u w:val="none"/>
    </w:rPr>
  </w:style>
  <w:style w:type="character" w:styleId="12">
    <w:name w:val="HTML Code"/>
    <w:basedOn w:val="6"/>
    <w:semiHidden/>
    <w:unhideWhenUsed/>
    <w:qFormat/>
    <w:uiPriority w:val="99"/>
    <w:rPr>
      <w:rFonts w:ascii="monospace" w:hAnsi="monospace" w:eastAsia="monospace" w:cs="monospace"/>
      <w:color w:val="C7254E"/>
      <w:sz w:val="21"/>
      <w:szCs w:val="21"/>
      <w:shd w:val="clear" w:fill="F9F2F4"/>
    </w:rPr>
  </w:style>
  <w:style w:type="character" w:styleId="13">
    <w:name w:val="HTML Keyboard"/>
    <w:basedOn w:val="6"/>
    <w:semiHidden/>
    <w:unhideWhenUsed/>
    <w:qFormat/>
    <w:uiPriority w:val="99"/>
    <w:rPr>
      <w:rFonts w:hint="default" w:ascii="monospace" w:hAnsi="monospace" w:eastAsia="monospace" w:cs="monospace"/>
      <w:color w:val="FFFFFF"/>
      <w:sz w:val="21"/>
      <w:szCs w:val="21"/>
      <w:shd w:val="clear" w:fill="333333"/>
    </w:rPr>
  </w:style>
  <w:style w:type="character" w:styleId="14">
    <w:name w:val="HTML Sample"/>
    <w:basedOn w:val="6"/>
    <w:semiHidden/>
    <w:unhideWhenUsed/>
    <w:qFormat/>
    <w:uiPriority w:val="99"/>
    <w:rPr>
      <w:rFonts w:hint="default" w:ascii="monospace" w:hAnsi="monospace" w:eastAsia="monospace" w:cs="monospace"/>
      <w:sz w:val="21"/>
      <w:szCs w:val="21"/>
    </w:rPr>
  </w:style>
  <w:style w:type="table" w:styleId="16">
    <w:name w:val="Table Grid"/>
    <w:basedOn w:val="15"/>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disabled"/>
    <w:basedOn w:val="6"/>
    <w:qFormat/>
    <w:uiPriority w:val="0"/>
    <w:rPr>
      <w:color w:val="BFBFBF"/>
    </w:rPr>
  </w:style>
  <w:style w:type="character" w:customStyle="1" w:styleId="18">
    <w:name w:val="current4"/>
    <w:basedOn w:val="6"/>
    <w:qFormat/>
    <w:uiPriority w:val="0"/>
    <w:rPr>
      <w:color w:val="FFFFFF"/>
      <w:sz w:val="24"/>
      <w:szCs w:val="24"/>
      <w:shd w:val="clear" w:fill="428BCA"/>
    </w:rPr>
  </w:style>
  <w:style w:type="paragraph" w:customStyle="1" w:styleId="19">
    <w:name w:val="_Style 14"/>
    <w:basedOn w:val="1"/>
    <w:next w:val="1"/>
    <w:qFormat/>
    <w:uiPriority w:val="0"/>
    <w:pPr>
      <w:pBdr>
        <w:bottom w:val="single" w:color="auto" w:sz="6" w:space="1"/>
      </w:pBdr>
      <w:jc w:val="center"/>
    </w:pPr>
    <w:rPr>
      <w:rFonts w:ascii="Arial" w:eastAsia="宋体"/>
      <w:vanish/>
      <w:sz w:val="16"/>
    </w:rPr>
  </w:style>
  <w:style w:type="paragraph" w:customStyle="1" w:styleId="20">
    <w:name w:val="_Style 15"/>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100</Words>
  <Characters>572</Characters>
  <Lines>4</Lines>
  <Paragraphs>1</Paragraphs>
  <TotalTime>2</TotalTime>
  <ScaleCrop>false</ScaleCrop>
  <LinksUpToDate>false</LinksUpToDate>
  <CharactersWithSpaces>671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2019-01-04T01:24:00Z</dcterms:created>
  <dc:creator>Administrator</dc:creator>
  <cp:lastModifiedBy>英子</cp:lastModifiedBy>
  <dcterms:modified xsi:type="dcterms:W3CDTF">2019-02-19T04:22:25Z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