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0" w:afterLines="0" w:line="312" w:lineRule="atLeast"/>
        <w:textAlignment w:val="baseline"/>
        <w:rPr>
          <w:rFonts w:hint="eastAsia" w:ascii="方正小标宋简体" w:hAnsi="方正小标宋简体" w:eastAsia="方正小标宋简体"/>
          <w:b/>
          <w:color w:val="auto"/>
          <w:kern w:val="0"/>
          <w:sz w:val="44"/>
        </w:rPr>
      </w:pPr>
    </w:p>
    <w:p>
      <w:pPr>
        <w:adjustRightInd w:val="0"/>
        <w:spacing w:beforeLines="0" w:afterLines="0" w:line="312" w:lineRule="atLeast"/>
        <w:jc w:val="center"/>
        <w:textAlignment w:val="baseline"/>
        <w:rPr>
          <w:rFonts w:hint="eastAsia" w:ascii="方正小标宋简体" w:hAnsi="方正小标宋简体" w:eastAsia="方正小标宋简体"/>
          <w:b/>
          <w:color w:val="auto"/>
          <w:kern w:val="0"/>
          <w:sz w:val="44"/>
        </w:rPr>
      </w:pPr>
      <w:r>
        <w:rPr>
          <w:rFonts w:hint="eastAsia" w:ascii="方正小标宋简体" w:hAnsi="方正小标宋简体" w:eastAsia="方正小标宋简体"/>
          <w:b/>
          <w:color w:val="auto"/>
          <w:kern w:val="0"/>
          <w:sz w:val="44"/>
        </w:rPr>
        <w:t>佛山市南海区建筑业先进企业评选</w:t>
      </w:r>
    </w:p>
    <w:p>
      <w:pPr>
        <w:adjustRightInd w:val="0"/>
        <w:spacing w:beforeLines="0" w:afterLines="0" w:line="312" w:lineRule="atLeast"/>
        <w:jc w:val="center"/>
        <w:textAlignment w:val="baseline"/>
        <w:rPr>
          <w:rFonts w:hint="eastAsia" w:ascii="方正小标宋简体" w:hAnsi="方正小标宋简体" w:eastAsia="方正小标宋简体"/>
          <w:b/>
          <w:color w:val="auto"/>
          <w:kern w:val="0"/>
          <w:sz w:val="40"/>
        </w:rPr>
      </w:pPr>
      <w:r>
        <w:rPr>
          <w:rFonts w:hint="eastAsia" w:ascii="方正小标宋简体" w:hAnsi="方正小标宋简体" w:eastAsia="方正小标宋简体"/>
          <w:b/>
          <w:color w:val="auto"/>
          <w:kern w:val="0"/>
          <w:sz w:val="44"/>
        </w:rPr>
        <w:t>申  报  表</w:t>
      </w:r>
    </w:p>
    <w:p>
      <w:pPr>
        <w:spacing w:before="157" w:beforeLines="50" w:afterLines="0"/>
        <w:jc w:val="center"/>
        <w:rPr>
          <w:rFonts w:hint="eastAsia" w:ascii="仿宋_GB2312" w:hAnsi="Times New Roman" w:eastAsia="仿宋_GB2312"/>
          <w:color w:val="auto"/>
          <w:sz w:val="32"/>
        </w:rPr>
      </w:pPr>
      <w:r>
        <w:rPr>
          <w:rFonts w:hint="eastAsia" w:ascii="方正小标宋简体" w:hAnsi="方正小标宋简体" w:eastAsia="方正小标宋简体"/>
          <w:b/>
          <w:color w:val="auto"/>
          <w:kern w:val="0"/>
          <w:sz w:val="40"/>
        </w:rPr>
        <w:t>（</w:t>
      </w:r>
      <w:r>
        <w:rPr>
          <w:rFonts w:hint="eastAsia" w:ascii="方正小标宋简体" w:hAnsi="方正小标宋简体" w:eastAsia="方正小标宋简体"/>
          <w:b/>
          <w:color w:val="auto"/>
          <w:kern w:val="0"/>
          <w:sz w:val="40"/>
          <w:u w:val="single"/>
        </w:rPr>
        <w:t xml:space="preserve"> 20   </w:t>
      </w:r>
      <w:r>
        <w:rPr>
          <w:rFonts w:hint="eastAsia" w:ascii="方正小标宋简体" w:hAnsi="方正小标宋简体" w:eastAsia="方正小标宋简体"/>
          <w:b/>
          <w:color w:val="auto"/>
          <w:kern w:val="0"/>
          <w:sz w:val="40"/>
        </w:rPr>
        <w:t>年度）</w:t>
      </w:r>
    </w:p>
    <w:p>
      <w:pPr>
        <w:spacing w:beforeLines="0" w:afterLines="0"/>
        <w:rPr>
          <w:rFonts w:hint="eastAsia" w:ascii="仿宋_GB2312" w:hAnsi="Times New Roman" w:eastAsia="仿宋_GB2312"/>
          <w:color w:val="auto"/>
          <w:sz w:val="36"/>
        </w:rPr>
      </w:pPr>
    </w:p>
    <w:p>
      <w:pPr>
        <w:spacing w:beforeLines="0" w:afterLines="0"/>
        <w:rPr>
          <w:rFonts w:hint="eastAsia" w:ascii="仿宋_GB2312" w:hAnsi="Times New Roman" w:eastAsia="仿宋_GB2312"/>
          <w:color w:val="auto"/>
          <w:sz w:val="36"/>
        </w:rPr>
      </w:pPr>
    </w:p>
    <w:p>
      <w:pPr>
        <w:spacing w:beforeLines="0" w:afterLines="0"/>
        <w:rPr>
          <w:rFonts w:hint="eastAsia" w:ascii="仿宋_GB2312" w:hAnsi="Times New Roman" w:eastAsia="仿宋_GB2312"/>
          <w:color w:val="auto"/>
          <w:sz w:val="36"/>
        </w:rPr>
      </w:pPr>
    </w:p>
    <w:p>
      <w:pPr>
        <w:spacing w:beforeLines="0" w:afterLines="0"/>
        <w:ind w:firstLine="1285" w:firstLineChars="400"/>
        <w:rPr>
          <w:rFonts w:hint="eastAsia" w:ascii="黑体" w:hAnsi="黑体" w:eastAsia="黑体"/>
          <w:b/>
          <w:color w:val="auto"/>
          <w:sz w:val="32"/>
        </w:rPr>
      </w:pPr>
      <w:r>
        <w:rPr>
          <w:rFonts w:hint="default" w:ascii="黑体" w:hAnsi="黑体" w:eastAsia="黑体"/>
          <w:b/>
          <w:color w:val="auto"/>
          <w:sz w:val="32"/>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297180</wp:posOffset>
                </wp:positionV>
                <wp:extent cx="28575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pt;margin-top:23.4pt;height:0pt;width:225pt;z-index:251660288;mso-width-relative:page;mso-height-relative:page;" filled="f" stroked="t" coordsize="21600,21600" o:gfxdata="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KW4cdUAAAAJAQAADwAAAAAAAAAB&#10;ACAAAAAiAAAAZHJzL2Rvd25yZXYueG1sUEsBAhQAFAAAAAgAh07iQIhT3SvaAQAAlgMAAA4AAAAA&#10;AAAAAQAgAAAAJAEAAGRycy9lMm9Eb2MueG1sUEsFBgAAAAAGAAYAWQEAAHAFAAAAAA==&#10;">
                <v:fill on="f" focussize="0,0"/>
                <v:stroke color="#000000" joinstyle="round"/>
                <v:imagedata o:title=""/>
                <o:lock v:ext="edit" aspectratio="f"/>
              </v:line>
            </w:pict>
          </mc:Fallback>
        </mc:AlternateContent>
      </w:r>
      <w:r>
        <w:rPr>
          <w:rFonts w:hint="eastAsia" w:ascii="黑体" w:hAnsi="黑体" w:eastAsia="黑体"/>
          <w:b/>
          <w:color w:val="auto"/>
          <w:sz w:val="32"/>
        </w:rPr>
        <w:t xml:space="preserve">申报单位（盖章）                       </w:t>
      </w:r>
    </w:p>
    <w:p>
      <w:pPr>
        <w:spacing w:beforeLines="0" w:afterLines="0"/>
        <w:ind w:firstLine="1285" w:firstLineChars="400"/>
        <w:rPr>
          <w:rFonts w:hint="eastAsia" w:ascii="黑体" w:hAnsi="黑体" w:eastAsia="黑体"/>
          <w:b/>
          <w:color w:val="auto"/>
          <w:sz w:val="32"/>
        </w:rPr>
      </w:pPr>
      <w:r>
        <w:rPr>
          <w:rFonts w:hint="eastAsia" w:ascii="黑体" w:hAnsi="黑体" w:eastAsia="黑体"/>
          <w:b/>
          <w:color w:val="auto"/>
          <w:sz w:val="32"/>
        </w:rPr>
        <w:t xml:space="preserve"> </w:t>
      </w:r>
    </w:p>
    <w:p>
      <w:pPr>
        <w:spacing w:beforeLines="0" w:afterLines="0"/>
        <w:ind w:firstLine="1285" w:firstLineChars="400"/>
        <w:rPr>
          <w:rFonts w:hint="eastAsia" w:ascii="黑体" w:hAnsi="黑体" w:eastAsia="黑体"/>
          <w:b/>
          <w:color w:val="auto"/>
          <w:sz w:val="32"/>
        </w:rPr>
      </w:pPr>
      <w:r>
        <w:rPr>
          <w:rFonts w:hint="default" w:ascii="黑体" w:hAnsi="黑体" w:eastAsia="黑体"/>
          <w:b/>
          <w:color w:val="auto"/>
          <w:sz w:val="32"/>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297180</wp:posOffset>
                </wp:positionV>
                <wp:extent cx="28575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pt;margin-top:23.4pt;height:0pt;width:225pt;z-index:251661312;mso-width-relative:page;mso-height-relative:page;" filled="f" stroked="t" coordsize="21600,21600" o:gfxdata="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yluHHVAAAACQEAAA8AAAAAAAAA&#10;AQAgAAAAIgAAAGRycy9kb3ducmV2LnhtbFBLAQIUABQAAAAIAIdO4kC77nGc2wEAAJYDAAAOAAAA&#10;AAAAAAEAIAAAACQBAABkcnMvZTJvRG9jLnhtbFBLBQYAAAAABgAGAFkBAABxBQAAAAA=&#10;">
                <v:fill on="f" focussize="0,0"/>
                <v:stroke color="#000000" joinstyle="round"/>
                <v:imagedata o:title=""/>
                <o:lock v:ext="edit" aspectratio="f"/>
              </v:line>
            </w:pict>
          </mc:Fallback>
        </mc:AlternateContent>
      </w:r>
      <w:r>
        <w:rPr>
          <w:rFonts w:hint="eastAsia" w:ascii="黑体" w:hAnsi="黑体" w:eastAsia="黑体"/>
          <w:b/>
          <w:color w:val="auto"/>
          <w:sz w:val="32"/>
        </w:rPr>
        <w:t xml:space="preserve">申  报  时  间     </w:t>
      </w:r>
    </w:p>
    <w:p>
      <w:pPr>
        <w:spacing w:beforeLines="0" w:afterLines="0"/>
        <w:ind w:firstLine="1285" w:firstLineChars="400"/>
        <w:rPr>
          <w:rFonts w:hint="eastAsia" w:ascii="黑体" w:hAnsi="黑体" w:eastAsia="黑体"/>
          <w:b/>
          <w:color w:val="auto"/>
          <w:sz w:val="32"/>
        </w:rPr>
      </w:pPr>
    </w:p>
    <w:p>
      <w:pPr>
        <w:spacing w:beforeLines="0" w:afterLines="0"/>
        <w:ind w:firstLine="1285" w:firstLineChars="400"/>
        <w:jc w:val="center"/>
        <w:rPr>
          <w:rFonts w:hint="eastAsia" w:ascii="黑体" w:hAnsi="黑体" w:eastAsia="黑体"/>
          <w:b/>
          <w:color w:val="auto"/>
          <w:sz w:val="32"/>
        </w:rPr>
      </w:pPr>
    </w:p>
    <w:p>
      <w:pPr>
        <w:pStyle w:val="2"/>
        <w:spacing w:beforeLines="0" w:afterLines="0"/>
        <w:rPr>
          <w:rFonts w:hint="eastAsia" w:ascii="黑体" w:hAnsi="黑体" w:eastAsia="黑体"/>
          <w:b/>
          <w:color w:val="auto"/>
          <w:sz w:val="32"/>
        </w:rPr>
      </w:pPr>
    </w:p>
    <w:p>
      <w:pPr>
        <w:spacing w:beforeLines="0" w:afterLines="0"/>
        <w:rPr>
          <w:rFonts w:hint="default"/>
          <w:color w:val="auto"/>
          <w:sz w:val="21"/>
        </w:rPr>
      </w:pPr>
    </w:p>
    <w:p>
      <w:pPr>
        <w:spacing w:beforeLines="0" w:afterLines="0"/>
        <w:ind w:firstLine="1285" w:firstLineChars="400"/>
        <w:jc w:val="center"/>
        <w:rPr>
          <w:rFonts w:hint="eastAsia" w:ascii="黑体" w:hAnsi="黑体" w:eastAsia="黑体"/>
          <w:b/>
          <w:color w:val="auto"/>
          <w:sz w:val="32"/>
        </w:rPr>
      </w:pPr>
    </w:p>
    <w:p>
      <w:pPr>
        <w:spacing w:beforeLines="0" w:afterLines="0"/>
        <w:ind w:firstLine="1285" w:firstLineChars="400"/>
        <w:jc w:val="center"/>
        <w:rPr>
          <w:rFonts w:hint="eastAsia" w:ascii="黑体" w:hAnsi="黑体" w:eastAsia="黑体"/>
          <w:b/>
          <w:color w:val="auto"/>
          <w:sz w:val="32"/>
        </w:rPr>
      </w:pPr>
    </w:p>
    <w:p>
      <w:pPr>
        <w:spacing w:beforeLines="0" w:afterLines="0"/>
        <w:jc w:val="center"/>
        <w:rPr>
          <w:rFonts w:hint="eastAsia" w:ascii="仿宋_GB2312" w:hAnsi="Times New Roman" w:eastAsia="黑体"/>
          <w:b/>
          <w:color w:val="auto"/>
          <w:sz w:val="36"/>
        </w:rPr>
      </w:pPr>
      <w:r>
        <w:rPr>
          <w:rFonts w:hint="eastAsia" w:ascii="黑体" w:hAnsi="黑体" w:eastAsia="黑体"/>
          <w:b/>
          <w:color w:val="auto"/>
          <w:sz w:val="32"/>
        </w:rPr>
        <w:t>-佛山市南海区建筑业协会制-</w:t>
      </w:r>
    </w:p>
    <w:p>
      <w:pPr>
        <w:spacing w:beforeLines="0" w:afterLines="0"/>
        <w:jc w:val="center"/>
        <w:rPr>
          <w:rFonts w:hint="eastAsia" w:ascii="仿宋_GB2312" w:hAnsi="Times New Roman" w:eastAsia="仿宋_GB2312"/>
          <w:b/>
          <w:color w:val="auto"/>
          <w:sz w:val="36"/>
        </w:rPr>
      </w:pPr>
    </w:p>
    <w:p>
      <w:pPr>
        <w:spacing w:beforeLines="0" w:afterLines="0"/>
        <w:jc w:val="center"/>
        <w:rPr>
          <w:rFonts w:hint="eastAsia" w:ascii="仿宋_GB2312" w:hAnsi="Times New Roman" w:eastAsia="仿宋_GB2312"/>
          <w:b/>
          <w:color w:val="auto"/>
          <w:sz w:val="36"/>
        </w:rPr>
      </w:pPr>
    </w:p>
    <w:p>
      <w:pPr>
        <w:adjustRightInd w:val="0"/>
        <w:spacing w:beforeLines="0" w:afterLines="0" w:line="312" w:lineRule="atLeast"/>
        <w:jc w:val="center"/>
        <w:textAlignment w:val="baseline"/>
        <w:rPr>
          <w:rFonts w:hint="eastAsia" w:ascii="方正小标宋简体" w:hAnsi="方正小标宋简体" w:eastAsia="方正小标宋简体"/>
          <w:b/>
          <w:color w:val="auto"/>
          <w:kern w:val="0"/>
          <w:sz w:val="44"/>
        </w:rPr>
      </w:pPr>
    </w:p>
    <w:p>
      <w:pPr>
        <w:adjustRightInd w:val="0"/>
        <w:spacing w:beforeLines="0" w:afterLines="0" w:line="312" w:lineRule="atLeast"/>
        <w:jc w:val="center"/>
        <w:textAlignment w:val="baseline"/>
        <w:rPr>
          <w:rFonts w:hint="eastAsia" w:ascii="方正小标宋简体" w:hAnsi="方正小标宋简体" w:eastAsia="方正小标宋简体"/>
          <w:b/>
          <w:color w:val="auto"/>
          <w:kern w:val="0"/>
          <w:sz w:val="44"/>
        </w:rPr>
      </w:pPr>
      <w:r>
        <w:rPr>
          <w:rFonts w:hint="eastAsia" w:ascii="方正小标宋简体" w:hAnsi="方正小标宋简体" w:eastAsia="方正小标宋简体"/>
          <w:b/>
          <w:color w:val="auto"/>
          <w:kern w:val="0"/>
          <w:sz w:val="44"/>
        </w:rPr>
        <w:t>填表说明</w:t>
      </w:r>
    </w:p>
    <w:p>
      <w:pPr>
        <w:adjustRightInd w:val="0"/>
        <w:spacing w:beforeLines="0" w:afterLines="0" w:line="312" w:lineRule="atLeast"/>
        <w:jc w:val="center"/>
        <w:textAlignment w:val="baseline"/>
        <w:rPr>
          <w:rFonts w:hint="eastAsia" w:ascii="方正小标宋简体" w:hAnsi="方正小标宋简体" w:eastAsia="方正小标宋简体"/>
          <w:b/>
          <w:color w:val="auto"/>
          <w:kern w:val="0"/>
          <w:sz w:val="44"/>
        </w:rPr>
      </w:pPr>
    </w:p>
    <w:p>
      <w:pPr>
        <w:spacing w:beforeLines="0" w:afterLines="0"/>
        <w:ind w:firstLine="643" w:firstLineChars="200"/>
        <w:rPr>
          <w:rFonts w:hint="eastAsia" w:ascii="黑体" w:hAnsi="黑体" w:eastAsia="黑体"/>
          <w:b/>
          <w:color w:val="auto"/>
          <w:sz w:val="32"/>
        </w:rPr>
      </w:pPr>
      <w:r>
        <w:rPr>
          <w:rFonts w:hint="eastAsia" w:ascii="黑体" w:hAnsi="黑体" w:eastAsia="黑体"/>
          <w:b/>
          <w:color w:val="auto"/>
          <w:sz w:val="32"/>
        </w:rPr>
        <w:t>1、请电脑输入或使用黑色签字笔、钢笔填写。</w:t>
      </w:r>
    </w:p>
    <w:p>
      <w:pPr>
        <w:spacing w:beforeLines="0" w:afterLines="0"/>
        <w:ind w:firstLine="643" w:firstLineChars="200"/>
        <w:rPr>
          <w:rFonts w:hint="eastAsia" w:ascii="黑体" w:hAnsi="黑体" w:eastAsia="黑体"/>
          <w:b/>
          <w:color w:val="auto"/>
          <w:sz w:val="32"/>
        </w:rPr>
      </w:pPr>
      <w:r>
        <w:rPr>
          <w:rFonts w:hint="eastAsia" w:ascii="黑体" w:hAnsi="黑体" w:eastAsia="黑体"/>
          <w:b/>
          <w:color w:val="auto"/>
          <w:sz w:val="32"/>
        </w:rPr>
        <w:t>2、填写内容务必详细、真实。</w:t>
      </w:r>
    </w:p>
    <w:p>
      <w:pPr>
        <w:spacing w:beforeLines="0" w:afterLines="0"/>
        <w:ind w:firstLine="643" w:firstLineChars="200"/>
        <w:rPr>
          <w:rFonts w:hint="eastAsia" w:ascii="黑体" w:hAnsi="黑体" w:eastAsia="黑体"/>
          <w:b/>
          <w:color w:val="auto"/>
          <w:sz w:val="32"/>
        </w:rPr>
      </w:pPr>
      <w:r>
        <w:rPr>
          <w:rFonts w:hint="eastAsia" w:ascii="黑体" w:hAnsi="黑体" w:eastAsia="黑体"/>
          <w:b/>
          <w:color w:val="auto"/>
          <w:sz w:val="32"/>
        </w:rPr>
        <w:t>3、企业资质，请填写企业具备的所有资质类别及等级。</w:t>
      </w:r>
    </w:p>
    <w:p>
      <w:pPr>
        <w:spacing w:beforeLines="0" w:afterLines="0"/>
        <w:ind w:firstLine="643" w:firstLineChars="200"/>
        <w:rPr>
          <w:rFonts w:hint="eastAsia" w:ascii="黑体" w:hAnsi="黑体" w:eastAsia="黑体"/>
          <w:b/>
          <w:color w:val="auto"/>
          <w:sz w:val="32"/>
        </w:rPr>
      </w:pPr>
      <w:r>
        <w:rPr>
          <w:rFonts w:hint="eastAsia" w:ascii="黑体" w:hAnsi="黑体" w:eastAsia="黑体"/>
          <w:b/>
          <w:color w:val="auto"/>
          <w:sz w:val="32"/>
        </w:rPr>
        <w:t>4、评选年度纳税情况，请填写评选年度在我区的纳税金额。</w:t>
      </w:r>
    </w:p>
    <w:p>
      <w:pPr>
        <w:spacing w:beforeLines="0" w:afterLines="0"/>
        <w:ind w:left="858" w:leftChars="303" w:hanging="222" w:hangingChars="69"/>
        <w:rPr>
          <w:rFonts w:hint="eastAsia" w:ascii="黑体" w:hAnsi="黑体" w:eastAsia="黑体"/>
          <w:b/>
          <w:color w:val="auto"/>
          <w:sz w:val="32"/>
        </w:rPr>
      </w:pPr>
      <w:r>
        <w:rPr>
          <w:rFonts w:hint="eastAsia" w:ascii="黑体" w:hAnsi="黑体" w:eastAsia="黑体"/>
          <w:b/>
          <w:color w:val="auto"/>
          <w:sz w:val="32"/>
        </w:rPr>
        <w:t>5、评选年度业绩介绍，请填写企业评选年度生产经营状况（区外企业须填写评选年度在本区承担的在建工程项目名称及地址）、企业或项目获奖情况、参与佛山市南海区国土城建和水务局（住建）或佛山市南海区建筑业协会活动或会议情况等。</w:t>
      </w:r>
    </w:p>
    <w:p>
      <w:pPr>
        <w:spacing w:beforeLines="0" w:afterLines="0"/>
        <w:ind w:firstLine="643" w:firstLineChars="200"/>
        <w:rPr>
          <w:rFonts w:hint="eastAsia" w:ascii="黑体" w:hAnsi="黑体" w:eastAsia="黑体"/>
          <w:b/>
          <w:color w:val="auto"/>
          <w:sz w:val="32"/>
        </w:rPr>
      </w:pPr>
      <w:r>
        <w:rPr>
          <w:rFonts w:hint="eastAsia" w:ascii="黑体" w:hAnsi="黑体" w:eastAsia="黑体"/>
          <w:b/>
          <w:color w:val="auto"/>
          <w:sz w:val="32"/>
        </w:rPr>
        <w:t>6、评选年度业绩介绍，若版面不够，可另附页。</w:t>
      </w:r>
    </w:p>
    <w:p>
      <w:pPr>
        <w:spacing w:beforeLines="0" w:afterLines="0" w:line="700" w:lineRule="exact"/>
        <w:ind w:firstLine="645"/>
        <w:rPr>
          <w:rFonts w:hint="eastAsia" w:ascii="仿宋_GB2312" w:hAnsi="Times New Roman" w:eastAsia="仿宋_GB2312"/>
          <w:color w:val="auto"/>
          <w:sz w:val="28"/>
        </w:rPr>
      </w:pPr>
    </w:p>
    <w:p>
      <w:pPr>
        <w:spacing w:beforeLines="0" w:afterLines="0" w:line="700" w:lineRule="exact"/>
        <w:ind w:firstLine="645"/>
        <w:rPr>
          <w:rFonts w:hint="eastAsia" w:ascii="仿宋_GB2312" w:hAnsi="Times New Roman" w:eastAsia="仿宋_GB2312"/>
          <w:color w:val="auto"/>
          <w:sz w:val="28"/>
        </w:rPr>
      </w:pPr>
    </w:p>
    <w:p>
      <w:pPr>
        <w:spacing w:beforeLines="0" w:afterLines="0" w:line="700" w:lineRule="exact"/>
        <w:ind w:firstLine="645"/>
        <w:rPr>
          <w:rFonts w:hint="eastAsia" w:ascii="仿宋_GB2312" w:hAnsi="Times New Roman" w:eastAsia="仿宋_GB2312"/>
          <w:color w:val="auto"/>
          <w:sz w:val="28"/>
        </w:rPr>
      </w:pPr>
    </w:p>
    <w:p>
      <w:pPr>
        <w:pStyle w:val="2"/>
        <w:spacing w:beforeLines="0" w:afterLines="0"/>
        <w:rPr>
          <w:rFonts w:hint="eastAsia"/>
          <w:color w:val="auto"/>
          <w:sz w:val="21"/>
        </w:rPr>
      </w:pPr>
    </w:p>
    <w:p>
      <w:pPr>
        <w:spacing w:beforeLines="0" w:afterLines="0"/>
        <w:rPr>
          <w:rFonts w:hint="eastAsia" w:ascii="仿宋_GB2312" w:hAnsi="Times New Roman" w:eastAsia="仿宋_GB2312"/>
          <w:color w:val="auto"/>
          <w:sz w:val="32"/>
        </w:rPr>
      </w:pPr>
    </w:p>
    <w:p>
      <w:pPr>
        <w:spacing w:beforeLines="0" w:afterLines="0"/>
        <w:rPr>
          <w:rFonts w:hint="eastAsia" w:ascii="仿宋_GB2312" w:hAnsi="Times New Roman" w:eastAsia="仿宋_GB2312"/>
          <w:color w:val="auto"/>
          <w:sz w:val="32"/>
        </w:rPr>
      </w:pPr>
    </w:p>
    <w:p>
      <w:pPr>
        <w:spacing w:beforeLines="0" w:afterLines="0"/>
        <w:rPr>
          <w:rFonts w:hint="eastAsia" w:ascii="仿宋_GB2312" w:hAnsi="Times New Roman" w:eastAsia="仿宋_GB2312"/>
          <w:color w:val="auto"/>
          <w:sz w:val="36"/>
        </w:rPr>
      </w:pPr>
    </w:p>
    <w:p>
      <w:pPr>
        <w:spacing w:beforeLines="0" w:afterLines="0"/>
        <w:rPr>
          <w:rFonts w:hint="default"/>
          <w:color w:val="auto"/>
          <w:sz w:val="21"/>
        </w:rPr>
      </w:pPr>
    </w:p>
    <w:tbl>
      <w:tblPr>
        <w:tblStyle w:val="15"/>
        <w:tblW w:w="9475"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700"/>
        <w:gridCol w:w="1562"/>
        <w:gridCol w:w="1388"/>
        <w:gridCol w:w="15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trPr>
        <w:tc>
          <w:tcPr>
            <w:tcW w:w="152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企业名称</w:t>
            </w:r>
          </w:p>
        </w:tc>
        <w:tc>
          <w:tcPr>
            <w:tcW w:w="795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52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详细地址</w:t>
            </w:r>
          </w:p>
        </w:tc>
        <w:tc>
          <w:tcPr>
            <w:tcW w:w="795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152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成立时间</w:t>
            </w:r>
          </w:p>
        </w:tc>
        <w:tc>
          <w:tcPr>
            <w:tcW w:w="1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c>
          <w:tcPr>
            <w:tcW w:w="156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资质证书编号</w:t>
            </w:r>
          </w:p>
        </w:tc>
        <w:tc>
          <w:tcPr>
            <w:tcW w:w="13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c>
          <w:tcPr>
            <w:tcW w:w="15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邮编</w:t>
            </w:r>
          </w:p>
        </w:tc>
        <w:tc>
          <w:tcPr>
            <w:tcW w:w="1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152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法定</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代表人</w:t>
            </w:r>
          </w:p>
        </w:tc>
        <w:tc>
          <w:tcPr>
            <w:tcW w:w="1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c>
          <w:tcPr>
            <w:tcW w:w="156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注册资金（万元）</w:t>
            </w:r>
          </w:p>
        </w:tc>
        <w:tc>
          <w:tcPr>
            <w:tcW w:w="13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c>
          <w:tcPr>
            <w:tcW w:w="15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评选年度纳税金额</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（万元）</w:t>
            </w:r>
          </w:p>
        </w:tc>
        <w:tc>
          <w:tcPr>
            <w:tcW w:w="1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2" w:hRule="atLeast"/>
        </w:trPr>
        <w:tc>
          <w:tcPr>
            <w:tcW w:w="152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企业资质</w:t>
            </w:r>
          </w:p>
        </w:tc>
        <w:tc>
          <w:tcPr>
            <w:tcW w:w="7950"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240" w:lineRule="atLeast"/>
              <w:jc w:val="center"/>
              <w:rPr>
                <w:rFonts w:hint="eastAsia"/>
              </w:rPr>
            </w:pPr>
          </w:p>
          <w:p>
            <w:pPr>
              <w:snapToGrid w:val="0"/>
              <w:spacing w:beforeLines="0" w:afterLines="0" w:line="240" w:lineRule="atLeast"/>
              <w:jc w:val="center"/>
              <w:rPr>
                <w:rFonts w:hint="eastAsia"/>
              </w:rPr>
            </w:pPr>
          </w:p>
          <w:p>
            <w:pPr>
              <w:snapToGrid w:val="0"/>
              <w:spacing w:beforeLines="0" w:afterLines="0" w:line="240" w:lineRule="atLeast"/>
              <w:jc w:val="center"/>
              <w:rPr>
                <w:rFonts w:hint="eastAsia"/>
              </w:rPr>
            </w:pPr>
          </w:p>
          <w:p>
            <w:pPr>
              <w:snapToGrid w:val="0"/>
              <w:spacing w:beforeLines="0" w:afterLines="0" w:line="240" w:lineRule="atLeast"/>
              <w:jc w:val="center"/>
              <w:rPr>
                <w:rFonts w:hint="eastAsia"/>
              </w:rPr>
            </w:pPr>
          </w:p>
          <w:p>
            <w:pPr>
              <w:snapToGrid w:val="0"/>
              <w:spacing w:beforeLines="0" w:afterLines="0" w:line="240" w:lineRule="atLeast"/>
              <w:jc w:val="center"/>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7" w:hRule="atLeast"/>
        </w:trPr>
        <w:tc>
          <w:tcPr>
            <w:tcW w:w="152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评</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选</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年</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度</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业</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绩</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介</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绍</w:t>
            </w:r>
          </w:p>
        </w:tc>
        <w:tc>
          <w:tcPr>
            <w:tcW w:w="7950"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240" w:lineRule="atLeast"/>
              <w:jc w:val="center"/>
              <w:rPr>
                <w:rFonts w:hint="eastAsia"/>
              </w:rPr>
            </w:pPr>
            <w:r>
              <w:rPr>
                <w:rFonts w:hint="eastAsia"/>
              </w:rPr>
              <w:t>（若不够填写，请另附页）</w:t>
            </w:r>
          </w:p>
          <w:p>
            <w:pPr>
              <w:snapToGrid w:val="0"/>
              <w:spacing w:beforeLines="0" w:afterLines="0" w:line="240" w:lineRule="atLeast"/>
              <w:jc w:val="center"/>
              <w:rPr>
                <w:rFonts w:hint="eastAsia"/>
              </w:rPr>
            </w:pPr>
          </w:p>
          <w:p>
            <w:pPr>
              <w:snapToGrid w:val="0"/>
              <w:spacing w:beforeLines="0" w:afterLines="0" w:line="240" w:lineRule="atLeast"/>
              <w:jc w:val="center"/>
              <w:rPr>
                <w:rFonts w:hint="eastAsia"/>
              </w:rPr>
            </w:pPr>
          </w:p>
          <w:p>
            <w:pPr>
              <w:snapToGrid w:val="0"/>
              <w:spacing w:beforeLines="0" w:afterLines="0" w:line="240" w:lineRule="atLeast"/>
              <w:jc w:val="center"/>
              <w:rPr>
                <w:rFonts w:hint="eastAsia"/>
              </w:rPr>
            </w:pPr>
          </w:p>
          <w:p>
            <w:pPr>
              <w:snapToGrid w:val="0"/>
              <w:spacing w:beforeLines="0" w:afterLines="0" w:line="240" w:lineRule="atLeast"/>
              <w:rPr>
                <w:rFonts w:hint="eastAsia"/>
              </w:rPr>
            </w:pPr>
          </w:p>
          <w:p>
            <w:pPr>
              <w:pStyle w:val="2"/>
              <w:rPr>
                <w:rFonts w:hint="eastAsia"/>
              </w:rPr>
            </w:pPr>
          </w:p>
        </w:tc>
      </w:tr>
    </w:tbl>
    <w:p>
      <w:pPr>
        <w:snapToGrid w:val="0"/>
        <w:spacing w:beforeLines="0" w:afterLines="0" w:line="240" w:lineRule="atLeast"/>
        <w:rPr>
          <w:rFonts w:hint="eastAsia" w:ascii="黑体" w:hAnsi="黑体" w:eastAsia="黑体"/>
          <w:color w:val="auto"/>
          <w:sz w:val="32"/>
        </w:rPr>
      </w:pPr>
    </w:p>
    <w:tbl>
      <w:tblPr>
        <w:tblStyle w:val="15"/>
        <w:tblW w:w="90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7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2" w:hRule="atLeast"/>
        </w:trPr>
        <w:tc>
          <w:tcPr>
            <w:tcW w:w="107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企</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业</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自</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荐</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承</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诺</w:t>
            </w:r>
          </w:p>
        </w:tc>
        <w:tc>
          <w:tcPr>
            <w:tcW w:w="797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left"/>
              <w:rPr>
                <w:rFonts w:hint="eastAsia" w:ascii="黑体" w:hAnsi="黑体" w:eastAsia="黑体"/>
                <w:color w:val="auto"/>
                <w:sz w:val="32"/>
              </w:rPr>
            </w:pPr>
            <w:r>
              <w:rPr>
                <w:rFonts w:hint="eastAsia" w:ascii="黑体" w:hAnsi="黑体" w:eastAsia="黑体"/>
                <w:color w:val="auto"/>
                <w:sz w:val="32"/>
              </w:rPr>
              <w:t xml:space="preserve">    本公司承诺所申报的材料全部真实有效，不存在弄虚作假行为，如有不实，愿接受处罚。</w:t>
            </w:r>
          </w:p>
          <w:p>
            <w:pPr>
              <w:snapToGrid w:val="0"/>
              <w:spacing w:beforeLines="0" w:afterLines="0" w:line="240" w:lineRule="atLeast"/>
              <w:rPr>
                <w:rFonts w:hint="eastAsia" w:ascii="黑体" w:hAnsi="黑体" w:eastAsia="黑体"/>
                <w:color w:val="auto"/>
                <w:sz w:val="32"/>
              </w:rPr>
            </w:pPr>
          </w:p>
          <w:p>
            <w:pPr>
              <w:spacing w:beforeLines="0" w:afterLines="0"/>
              <w:rPr>
                <w:rFonts w:hint="default"/>
                <w:color w:val="auto"/>
                <w:sz w:val="21"/>
              </w:rPr>
            </w:pP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 xml:space="preserve">              法定代表人：（签名）</w:t>
            </w: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 xml:space="preserve">                    年  月  日（盖章）</w:t>
            </w:r>
          </w:p>
          <w:p>
            <w:pPr>
              <w:snapToGrid w:val="0"/>
              <w:spacing w:beforeLines="0" w:afterLines="0" w:line="240" w:lineRule="atLeast"/>
              <w:jc w:val="center"/>
              <w:rPr>
                <w:rFonts w:hint="eastAsia" w:ascii="黑体" w:hAnsi="黑体" w:eastAsia="黑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6" w:hRule="atLeast"/>
        </w:trPr>
        <w:tc>
          <w:tcPr>
            <w:tcW w:w="107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评</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委</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会</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意</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见</w:t>
            </w:r>
          </w:p>
        </w:tc>
        <w:tc>
          <w:tcPr>
            <w:tcW w:w="7974"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rPr>
                <w:rFonts w:hint="eastAsia" w:ascii="黑体" w:hAnsi="黑体" w:eastAsia="黑体"/>
                <w:color w:val="auto"/>
                <w:sz w:val="32"/>
              </w:rPr>
            </w:pPr>
          </w:p>
          <w:p>
            <w:pPr>
              <w:snapToGrid w:val="0"/>
              <w:spacing w:beforeLines="0" w:afterLines="0" w:line="240" w:lineRule="atLeast"/>
              <w:ind w:firstLine="3520" w:firstLineChars="1100"/>
              <w:rPr>
                <w:rFonts w:hint="eastAsia" w:ascii="黑体" w:hAnsi="黑体" w:eastAsia="黑体"/>
                <w:color w:val="auto"/>
                <w:sz w:val="32"/>
              </w:rPr>
            </w:pPr>
            <w:r>
              <w:rPr>
                <w:rFonts w:hint="eastAsia" w:ascii="黑体" w:hAnsi="黑体" w:eastAsia="黑体"/>
                <w:color w:val="auto"/>
                <w:sz w:val="32"/>
              </w:rPr>
              <w:t>（签名）</w:t>
            </w: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 xml:space="preserve">                  </w:t>
            </w:r>
          </w:p>
          <w:p>
            <w:pPr>
              <w:tabs>
                <w:tab w:val="left" w:pos="7140"/>
              </w:tabs>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7" w:hRule="atLeast"/>
        </w:trPr>
        <w:tc>
          <w:tcPr>
            <w:tcW w:w="107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佛</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山</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市</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南</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海</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区</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建</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筑</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业</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协</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会</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意</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见</w:t>
            </w:r>
          </w:p>
        </w:tc>
        <w:tc>
          <w:tcPr>
            <w:tcW w:w="7974"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 xml:space="preserve">                             </w:t>
            </w:r>
          </w:p>
          <w:p>
            <w:pPr>
              <w:snapToGrid w:val="0"/>
              <w:spacing w:beforeLines="0" w:afterLines="0" w:line="240" w:lineRule="atLeast"/>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 xml:space="preserve">       单位（公章）：</w:t>
            </w: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ind w:firstLine="5440" w:firstLineChars="1700"/>
              <w:rPr>
                <w:rFonts w:hint="eastAsia" w:ascii="黑体" w:hAnsi="黑体" w:eastAsia="黑体"/>
                <w:color w:val="auto"/>
                <w:sz w:val="32"/>
              </w:rPr>
            </w:pPr>
            <w:r>
              <w:rPr>
                <w:rFonts w:hint="eastAsia" w:ascii="黑体" w:hAnsi="黑体" w:eastAsia="黑体"/>
                <w:color w:val="auto"/>
                <w:sz w:val="32"/>
              </w:rPr>
              <w:t>年  月  日</w:t>
            </w:r>
          </w:p>
        </w:tc>
      </w:tr>
    </w:tbl>
    <w:p>
      <w:pPr>
        <w:snapToGrid w:val="0"/>
        <w:spacing w:beforeLines="0" w:afterLines="0" w:line="240" w:lineRule="atLeast"/>
        <w:rPr>
          <w:rFonts w:hint="eastAsia" w:ascii="黑体" w:hAnsi="黑体" w:eastAsia="黑体"/>
          <w:color w:val="auto"/>
          <w:sz w:val="32"/>
        </w:rPr>
        <w:sectPr>
          <w:headerReference r:id="rId3" w:type="default"/>
          <w:footerReference r:id="rId4" w:type="default"/>
          <w:pgSz w:w="11906" w:h="16838"/>
          <w:pgMar w:top="1440" w:right="1510" w:bottom="1440" w:left="1576" w:header="851" w:footer="992" w:gutter="0"/>
          <w:lnNumType w:countBy="0" w:distance="360"/>
          <w:cols w:space="720" w:num="1"/>
          <w:titlePg/>
          <w:docGrid w:type="lines" w:linePitch="312" w:charSpace="0"/>
        </w:sectPr>
      </w:pPr>
    </w:p>
    <w:tbl>
      <w:tblPr>
        <w:tblStyle w:val="15"/>
        <w:tblW w:w="14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940"/>
        <w:gridCol w:w="1080"/>
        <w:gridCol w:w="750"/>
        <w:gridCol w:w="8580"/>
        <w:gridCol w:w="93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4" w:hRule="atLeast"/>
        </w:trPr>
        <w:tc>
          <w:tcPr>
            <w:tcW w:w="14420" w:type="dxa"/>
            <w:gridSpan w:val="7"/>
            <w:tcBorders>
              <w:top w:val="nil"/>
              <w:left w:val="nil"/>
              <w:bottom w:val="nil"/>
              <w:right w:val="nil"/>
              <w:tl2br w:val="nil"/>
              <w:tr2bl w:val="nil"/>
            </w:tcBorders>
            <w:noWrap w:val="0"/>
            <w:vAlign w:val="center"/>
          </w:tcPr>
          <w:p>
            <w:pPr>
              <w:pStyle w:val="2"/>
              <w:ind w:left="0" w:leftChars="0" w:firstLine="0" w:firstLineChars="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附件1</w:t>
            </w:r>
          </w:p>
          <w:p>
            <w:pPr>
              <w:widowControl/>
              <w:spacing w:beforeLines="0" w:afterLines="0"/>
              <w:jc w:val="center"/>
              <w:textAlignment w:val="center"/>
              <w:rPr>
                <w:rFonts w:hint="eastAsia" w:ascii="宋体" w:hAnsi="宋体" w:eastAsia="宋体"/>
                <w:b/>
                <w:color w:val="auto"/>
                <w:sz w:val="36"/>
              </w:rPr>
            </w:pPr>
            <w:r>
              <w:rPr>
                <w:rFonts w:hint="eastAsia" w:ascii="宋体" w:hAnsi="宋体" w:eastAsia="宋体"/>
                <w:b/>
                <w:color w:val="auto"/>
                <w:kern w:val="0"/>
                <w:sz w:val="36"/>
              </w:rPr>
              <w:t>佛山市南海区建筑行业先进企业(施工)评分表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1" w:hRule="atLeast"/>
        </w:trPr>
        <w:tc>
          <w:tcPr>
            <w:tcW w:w="14420" w:type="dxa"/>
            <w:gridSpan w:val="7"/>
            <w:tcBorders>
              <w:top w:val="nil"/>
              <w:left w:val="nil"/>
              <w:bottom w:val="nil"/>
              <w:right w:val="nil"/>
              <w:tl2br w:val="nil"/>
              <w:tr2bl w:val="nil"/>
            </w:tcBorders>
            <w:noWrap w:val="0"/>
            <w:vAlign w:val="center"/>
          </w:tcPr>
          <w:p>
            <w:pPr>
              <w:widowControl/>
              <w:spacing w:beforeLines="0" w:afterLines="0"/>
              <w:jc w:val="left"/>
              <w:textAlignment w:val="center"/>
              <w:rPr>
                <w:rFonts w:hint="eastAsia" w:ascii="宋体" w:hAnsi="宋体" w:eastAsia="宋体"/>
                <w:b/>
                <w:color w:val="auto"/>
                <w:sz w:val="24"/>
              </w:rPr>
            </w:pPr>
            <w:r>
              <w:rPr>
                <w:rFonts w:hint="eastAsia" w:ascii="宋体" w:hAnsi="宋体" w:eastAsia="宋体"/>
                <w:b/>
                <w:color w:val="auto"/>
                <w:kern w:val="0"/>
                <w:sz w:val="24"/>
              </w:rPr>
              <w:t xml:space="preserve">评选单位：                                             得分：               评分专家签名：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序号</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评价项目</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评价指标</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标准分</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评分标准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评审得分</w:t>
            </w: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企业规模</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5.0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资质等级</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3.0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具备一项总承包资质的得基准分1分；每增加一项总承包资质的得1分，每增加一项其它专业资质的得0.5分。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以企业资质证书为准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2</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净资产</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2.0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上一年度净资产达到最高资质规定标准的得1.0分；每增加资质规定标准50%的再加0.5分。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以企业年度财务报告或统计报表、税局开具的纳税证明为准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3</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经济效益</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纳税额度</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企业在本辖区内上一年度缴纳税收达人民币300万元以下的得5分；达人民币300万元以上的得8分；每增加人民币100万元的加1分，最高得10分。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4</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技术能力</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6.0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技术人员</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3.0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技术人员数量符合现行的资质规定要求的得3分，</w:t>
            </w:r>
            <w:r>
              <w:rPr>
                <w:rFonts w:hint="eastAsia" w:ascii="仿宋_GB2312" w:hAnsi="宋体" w:eastAsia="仿宋_GB2312"/>
                <w:color w:val="auto"/>
                <w:kern w:val="0"/>
                <w:sz w:val="21"/>
              </w:rPr>
              <w:t>不符合的不得分</w:t>
            </w:r>
            <w:r>
              <w:rPr>
                <w:rFonts w:hint="default" w:ascii="仿宋_GB2312" w:hAnsi="宋体" w:eastAsia="仿宋_GB2312"/>
                <w:color w:val="auto"/>
                <w:kern w:val="0"/>
                <w:sz w:val="21"/>
              </w:rPr>
              <w:t>。</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企业提供相应名单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6"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5</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技术进步</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3.0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在本辖区内承建的项目施工过程中使用了建筑业10项新技术、新材料、新工艺的得1分，每取得一项国家级、省级以及市级技术标准、科学技术进步奖、技术中心、科技示范工程、QC成果、工法等的，分别得0.5分，最高得3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以相关部门颁发给企业的证明材料为准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6</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经营能力</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3.0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净资产收</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益率</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2.0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本项基准分1.0分；净资产收益率超过15%后每增加1个百分点的再加0.2分；低于10%后每减少1个百分点的扣0.2分。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nil"/>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以企业年度财务报告或统计报表为准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7</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资产负债率</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本项基准分0.5分；资产负债率低于60%后每减少5个百分点的再加0.1分；高于60%后每增加5个百分点的扣0.1分。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8"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8</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企业管理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规章制度</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5.0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建立完善、有针对性的组织机构、岗位责任制、人员管理、合同管理、机械设备管理、材料管理、档案管理、工程质量管理、安全生产管理、文明施工管理、职业病危害管理、廉政管理、财务管理以及工程款结算和工资支付等制度的，按比例得分，最高得5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9</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管理体系</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3.0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通过质量、环境、职业健康安全体系认证的，通过其中一个体系认证的得1分，最高得3分。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2"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10</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信息化管理</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2.0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在建工程施工现场使用用工实名制信息化管理系统的，得2分。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11</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质量安全</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管理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20.0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质量管理</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行为</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8.0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质量管理制度制订有针对性并落实执行的，得8分。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12</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安全文明施工管理行为</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8.0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安全文明施工管理制度制订有针对性并落实执行的，得8分。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13</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应急预案</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4.0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质量安全事故应急救援预案制订有针对性并落实执行的，得</w:t>
            </w:r>
            <w:r>
              <w:rPr>
                <w:rFonts w:hint="eastAsia" w:ascii="仿宋_GB2312" w:hAnsi="宋体" w:eastAsia="仿宋_GB2312"/>
                <w:color w:val="auto"/>
                <w:kern w:val="0"/>
                <w:sz w:val="21"/>
                <w:lang w:val="en-US" w:eastAsia="zh-CN"/>
              </w:rPr>
              <w:t>4</w:t>
            </w:r>
            <w:bookmarkStart w:id="0" w:name="_GoBack"/>
            <w:bookmarkEnd w:id="0"/>
            <w:r>
              <w:rPr>
                <w:rFonts w:hint="default" w:ascii="仿宋_GB2312" w:hAnsi="宋体" w:eastAsia="仿宋_GB2312"/>
                <w:color w:val="auto"/>
                <w:kern w:val="0"/>
                <w:sz w:val="21"/>
              </w:rPr>
              <w:t>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14</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市场行为</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合同履行</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 xml:space="preserve">5.0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color w:val="auto"/>
                <w:sz w:val="21"/>
              </w:rPr>
            </w:pPr>
            <w:r>
              <w:rPr>
                <w:rFonts w:hint="eastAsia" w:ascii="仿宋_GB2312" w:hAnsi="宋体" w:eastAsia="仿宋_GB2312"/>
                <w:color w:val="auto"/>
                <w:kern w:val="0"/>
                <w:sz w:val="21"/>
              </w:rPr>
              <w:t>合法经营，无受过行政主管部门处罚的得基准分4分；获得工商管理部门颁发的“守合同重信用企业”称号的：连续4年至6年的加0.5分，连续7年至9年的加1分，最高得5分。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0"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15</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各类表彰</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 xml:space="preserve">5.0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符合下列标准的，按分值得分，本项最高得5分：</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1、获得过区级以上建设行政主管部门各类表彰的得5分；</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2、获得市级以上建筑业协会、市政协会、园林协会等各类表彰的得3分；</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3、协助过本协会承办各类演练、观摩的得3分；</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4、参加过本协会举办的各类比赛的得1分。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以企业或协会提供的相关证明为准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16</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信用评价</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15.0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诚信管理</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15.0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eastAsia" w:ascii="仿宋_GB2312" w:hAnsi="宋体" w:eastAsia="仿宋_GB2312"/>
                <w:color w:val="auto"/>
                <w:kern w:val="0"/>
                <w:sz w:val="21"/>
              </w:rPr>
              <w:t>在佛山市建筑行业诚信管理平台最新考评年度考评等级为B级以上的得基准分10分；考评等级为A级的再加5分，最高得15分。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eastAsia" w:ascii="仿宋_GB2312" w:hAnsi="宋体" w:eastAsia="仿宋_GB2312"/>
                <w:color w:val="auto"/>
                <w:kern w:val="0"/>
                <w:sz w:val="21"/>
              </w:rPr>
              <w:t>以佛山市建筑行业诚信管理平台数据为准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0" w:hRule="atLeast"/>
        </w:trPr>
        <w:tc>
          <w:tcPr>
            <w:tcW w:w="52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17</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业绩10.0</w:t>
            </w:r>
          </w:p>
        </w:tc>
        <w:tc>
          <w:tcPr>
            <w:tcW w:w="108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合同金额</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或中标项</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color w:val="auto"/>
                <w:sz w:val="21"/>
              </w:rPr>
            </w:pPr>
            <w:r>
              <w:rPr>
                <w:rFonts w:hint="eastAsia" w:ascii="仿宋_GB2312" w:hAnsi="宋体" w:eastAsia="仿宋_GB2312"/>
                <w:color w:val="auto"/>
                <w:kern w:val="0"/>
                <w:sz w:val="21"/>
              </w:rPr>
              <w:t>（最高得10分）</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符合下列标准之一的，可得10分：</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1、2018年承建的房屋建筑工程或市政工程项目，单项合同额达人民币5000万元以上的；</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2、2018年承建的安装工程、装饰装修工程、园林绿化工程，单项合同额达</w:t>
            </w:r>
            <w:r>
              <w:rPr>
                <w:rFonts w:hint="eastAsia" w:ascii="仿宋_GB2312" w:hAnsi="宋体" w:eastAsia="仿宋_GB2312"/>
                <w:color w:val="auto"/>
                <w:kern w:val="0"/>
                <w:sz w:val="21"/>
              </w:rPr>
              <w:t>人民币</w:t>
            </w:r>
            <w:r>
              <w:rPr>
                <w:rFonts w:hint="default" w:ascii="仿宋_GB2312" w:hAnsi="宋体" w:eastAsia="仿宋_GB2312"/>
                <w:color w:val="auto"/>
                <w:kern w:val="0"/>
                <w:sz w:val="21"/>
              </w:rPr>
              <w:t>2000万元以上的；</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3、2018年累计承接的工程合同额达到</w:t>
            </w:r>
            <w:r>
              <w:rPr>
                <w:rFonts w:hint="eastAsia" w:ascii="仿宋_GB2312" w:hAnsi="宋体" w:eastAsia="仿宋_GB2312"/>
                <w:color w:val="auto"/>
                <w:kern w:val="0"/>
                <w:sz w:val="21"/>
              </w:rPr>
              <w:t>人民币</w:t>
            </w:r>
            <w:r>
              <w:rPr>
                <w:rFonts w:hint="default" w:ascii="仿宋_GB2312" w:hAnsi="宋体" w:eastAsia="仿宋_GB2312"/>
                <w:color w:val="auto"/>
                <w:kern w:val="0"/>
                <w:sz w:val="21"/>
              </w:rPr>
              <w:t>1亿元以上的。</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提供施工许可证或中标通知书（中标通知书必须是由工程当地集中交易机构或招标投标管理部门核发方为有效）及施工合同的复印件相关页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5" w:hRule="atLeast"/>
        </w:trPr>
        <w:tc>
          <w:tcPr>
            <w:tcW w:w="52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5.0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符合下列标准之一的，可得5分：</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1、2018年承建的房屋建筑工程或市政工程项目，单项合同额达人民币2000万元以上5000万元以下的；</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2、2018年承建的安装工程、装饰装修工程、园林绿化工程，单项合同额达人民币500万元以上2000万元以下的；</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3、2018年累计承接的工程合同额达到人民币8000万元以上的；</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color w:val="auto"/>
                <w:sz w:val="21"/>
              </w:rPr>
            </w:pPr>
            <w:r>
              <w:rPr>
                <w:rFonts w:hint="eastAsia" w:ascii="仿宋_GB2312" w:hAnsi="宋体" w:eastAsia="仿宋_GB2312"/>
                <w:color w:val="auto"/>
                <w:kern w:val="0"/>
                <w:sz w:val="21"/>
              </w:rPr>
              <w:t>4、2018年中标的工程项目3个以上的。</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66" w:hRule="atLeast"/>
        </w:trPr>
        <w:tc>
          <w:tcPr>
            <w:tcW w:w="52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3.0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符合下列标准之一的，可得3分：</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1、2018年承建的房屋建筑工程或市政工程项目，单项合同额达人民币2000万元以下的；</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2、2018年承建的安装工程、装饰装修工程、园林绿化工程，单项合同额达人民币500万元以下的；</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3、2018年累计承接的工程合同额达人民币5000万元以上的；</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color w:val="auto"/>
                <w:sz w:val="21"/>
              </w:rPr>
            </w:pPr>
            <w:r>
              <w:rPr>
                <w:rFonts w:hint="eastAsia" w:ascii="仿宋_GB2312" w:hAnsi="宋体" w:eastAsia="仿宋_GB2312"/>
                <w:color w:val="auto"/>
                <w:kern w:val="0"/>
                <w:sz w:val="21"/>
              </w:rPr>
              <w:t>4、2018年中标的工程项目3个以下的。</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8"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18</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企业发展</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5.0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企业资质</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升级</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5.0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符合下列标准的，按分值得分，最高得5分：</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1、总承包施工单位资质升级的得5分；专业承包单位资质升级的得3分；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2、在本辖区内报建项目获得省级及以上建筑类奖励的得5分；获得市级建筑类奖励的得3分。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19</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社会行为</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6.0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社会服务</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6.0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1、参加过抗震、救灾等工作的得3分。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2、参加过本协会组织的捐赠帮扶等慈善活动的得3分。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以企业或协会提供的相关证明材料为准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8"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20</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加分项</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支持协会</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工作</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21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1、在本协会按时缴交会费，无拖欠会费的加2分；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2、在本协会中担任副会长（含副会长）以上的加2分；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3、积极参加本协会发动、号召及组织的各类活动或主动配合、帮助本协会完成年度各项工作的加3分；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4、积极为本协会的发展和运作建言或出谋划策的加3分。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以企业或协会提供的相关证明材料为准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1"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b/>
                <w:color w:val="auto"/>
                <w:kern w:val="0"/>
                <w:sz w:val="21"/>
              </w:rPr>
              <w:t>汇总</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rPr>
                <w:rFonts w:hint="default" w:ascii="仿宋_GB2312" w:hAnsi="宋体" w:eastAsia="仿宋_GB2312"/>
                <w:color w:val="auto"/>
                <w:sz w:val="21"/>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9" w:hRule="atLeast"/>
        </w:trPr>
        <w:tc>
          <w:tcPr>
            <w:tcW w:w="14420" w:type="dxa"/>
            <w:gridSpan w:val="7"/>
            <w:tcBorders>
              <w:top w:val="nil"/>
              <w:left w:val="nil"/>
              <w:bottom w:val="nil"/>
              <w:right w:val="nil"/>
              <w:tl2br w:val="nil"/>
              <w:tr2bl w:val="nil"/>
            </w:tcBorders>
            <w:noWrap w:val="0"/>
            <w:vAlign w:val="center"/>
          </w:tcPr>
          <w:p>
            <w:pPr>
              <w:widowControl/>
              <w:spacing w:beforeLines="0" w:afterLines="0"/>
              <w:jc w:val="left"/>
              <w:textAlignment w:val="center"/>
              <w:rPr>
                <w:rFonts w:hint="eastAsia" w:ascii="仿宋_GB2312" w:hAnsi="宋体" w:eastAsia="仿宋_GB2312"/>
                <w:color w:val="auto"/>
                <w:kern w:val="0"/>
                <w:sz w:val="22"/>
              </w:rPr>
            </w:pPr>
            <w:r>
              <w:rPr>
                <w:rFonts w:hint="default" w:ascii="仿宋_GB2312" w:hAnsi="宋体" w:eastAsia="仿宋_GB2312"/>
                <w:color w:val="auto"/>
                <w:kern w:val="0"/>
                <w:sz w:val="22"/>
              </w:rPr>
              <w:t>注：1、各项评价指标未达到基本要求的不得分，每项最高得分不超过该项标准分，“以上”包含本数，“以下”不包含本数，</w:t>
            </w:r>
            <w:r>
              <w:rPr>
                <w:rFonts w:hint="eastAsia" w:ascii="仿宋_GB2312" w:hAnsi="宋体" w:eastAsia="仿宋_GB2312"/>
                <w:color w:val="auto"/>
                <w:kern w:val="0"/>
                <w:sz w:val="22"/>
              </w:rPr>
              <w:t>最低得分为0分，不</w:t>
            </w:r>
          </w:p>
          <w:p>
            <w:pPr>
              <w:widowControl/>
              <w:spacing w:beforeLines="0" w:afterLines="0"/>
              <w:ind w:firstLine="838" w:firstLineChars="381"/>
              <w:jc w:val="left"/>
              <w:textAlignment w:val="center"/>
              <w:rPr>
                <w:rFonts w:hint="default" w:ascii="仿宋_GB2312" w:hAnsi="宋体" w:eastAsia="仿宋_GB2312"/>
                <w:color w:val="auto"/>
                <w:sz w:val="22"/>
              </w:rPr>
            </w:pPr>
            <w:r>
              <w:rPr>
                <w:rFonts w:hint="eastAsia" w:ascii="仿宋_GB2312" w:hAnsi="宋体" w:eastAsia="仿宋_GB2312"/>
                <w:color w:val="auto"/>
                <w:kern w:val="0"/>
                <w:sz w:val="22"/>
              </w:rPr>
              <w:t>出现负分。</w:t>
            </w:r>
            <w:r>
              <w:rPr>
                <w:rFonts w:hint="default" w:ascii="仿宋_GB2312" w:hAnsi="宋体" w:eastAsia="仿宋_GB2312"/>
                <w:color w:val="auto"/>
                <w:kern w:val="0"/>
                <w:sz w:val="22"/>
              </w:rPr>
              <w:br w:type="textWrapping"/>
            </w:r>
            <w:r>
              <w:rPr>
                <w:rFonts w:hint="default" w:ascii="仿宋_GB2312" w:hAnsi="宋体" w:eastAsia="仿宋_GB2312"/>
                <w:color w:val="auto"/>
                <w:kern w:val="0"/>
                <w:sz w:val="22"/>
              </w:rPr>
              <w:t xml:space="preserve">    2、项目实行实名制的，施工单位应提供实名制相关资料，市政单位应提供工人工资分账管理相关材料。</w:t>
            </w:r>
            <w:r>
              <w:rPr>
                <w:rFonts w:hint="default" w:ascii="仿宋_GB2312" w:hAnsi="宋体" w:eastAsia="仿宋_GB2312"/>
                <w:color w:val="auto"/>
                <w:kern w:val="0"/>
                <w:sz w:val="22"/>
              </w:rPr>
              <w:br w:type="textWrapping"/>
            </w:r>
            <w:r>
              <w:rPr>
                <w:rFonts w:hint="default" w:ascii="仿宋_GB2312" w:hAnsi="宋体" w:eastAsia="仿宋_GB2312"/>
                <w:color w:val="auto"/>
                <w:kern w:val="0"/>
                <w:sz w:val="22"/>
              </w:rPr>
              <w:t xml:space="preserve">    3、以上资料均提供复印件（加盖公章），相关原件现场核对后退回。</w:t>
            </w:r>
          </w:p>
        </w:tc>
      </w:tr>
    </w:tbl>
    <w:p>
      <w:pPr>
        <w:snapToGrid w:val="0"/>
        <w:spacing w:beforeLines="0" w:afterLines="0" w:line="240" w:lineRule="atLeast"/>
        <w:rPr>
          <w:rFonts w:hint="eastAsia" w:ascii="黑体" w:hAnsi="黑体" w:eastAsia="黑体"/>
          <w:color w:val="auto"/>
          <w:sz w:val="32"/>
        </w:rPr>
      </w:pPr>
    </w:p>
    <w:tbl>
      <w:tblPr>
        <w:tblStyle w:val="15"/>
        <w:tblW w:w="14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4"/>
        <w:gridCol w:w="1270"/>
        <w:gridCol w:w="1300"/>
        <w:gridCol w:w="798"/>
        <w:gridCol w:w="7613"/>
        <w:gridCol w:w="1110"/>
        <w:gridCol w:w="1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4280" w:type="dxa"/>
            <w:gridSpan w:val="7"/>
            <w:tcBorders>
              <w:top w:val="nil"/>
              <w:left w:val="nil"/>
              <w:bottom w:val="nil"/>
              <w:right w:val="nil"/>
              <w:tl2br w:val="nil"/>
              <w:tr2bl w:val="nil"/>
            </w:tcBorders>
            <w:noWrap w:val="0"/>
            <w:vAlign w:val="center"/>
          </w:tcPr>
          <w:p>
            <w:pPr>
              <w:pStyle w:val="2"/>
              <w:ind w:left="0" w:leftChars="0" w:firstLine="0" w:firstLineChars="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附件2</w:t>
            </w:r>
          </w:p>
          <w:p>
            <w:pPr>
              <w:widowControl/>
              <w:spacing w:beforeLines="0" w:afterLines="0"/>
              <w:jc w:val="center"/>
              <w:textAlignment w:val="center"/>
              <w:rPr>
                <w:rFonts w:hint="eastAsia" w:ascii="宋体" w:hAnsi="宋体" w:eastAsia="宋体"/>
                <w:b/>
                <w:color w:val="auto"/>
                <w:sz w:val="36"/>
              </w:rPr>
            </w:pPr>
            <w:r>
              <w:rPr>
                <w:rFonts w:hint="eastAsia" w:ascii="宋体" w:hAnsi="宋体" w:eastAsia="宋体"/>
                <w:b/>
                <w:color w:val="auto"/>
                <w:kern w:val="0"/>
                <w:sz w:val="36"/>
              </w:rPr>
              <w:t>佛山市南海区建筑业先进企业（监理）评分表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4280" w:type="dxa"/>
            <w:gridSpan w:val="7"/>
            <w:tcBorders>
              <w:top w:val="nil"/>
              <w:left w:val="nil"/>
              <w:bottom w:val="nil"/>
              <w:right w:val="nil"/>
              <w:tl2br w:val="nil"/>
              <w:tr2bl w:val="nil"/>
            </w:tcBorders>
            <w:noWrap w:val="0"/>
            <w:vAlign w:val="center"/>
          </w:tcPr>
          <w:p>
            <w:pPr>
              <w:widowControl/>
              <w:spacing w:beforeLines="0" w:afterLines="0"/>
              <w:jc w:val="left"/>
              <w:textAlignment w:val="center"/>
              <w:rPr>
                <w:rFonts w:hint="eastAsia" w:ascii="宋体" w:hAnsi="宋体" w:eastAsia="宋体"/>
                <w:b/>
                <w:color w:val="auto"/>
                <w:sz w:val="24"/>
              </w:rPr>
            </w:pPr>
            <w:r>
              <w:rPr>
                <w:rFonts w:hint="eastAsia" w:ascii="宋体" w:hAnsi="宋体" w:eastAsia="宋体"/>
                <w:b/>
                <w:color w:val="auto"/>
                <w:kern w:val="0"/>
                <w:sz w:val="24"/>
              </w:rPr>
              <w:t xml:space="preserve">评选单位：                                    得分：                   评分专家签名：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6"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序号</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评价项目</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评价指标</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标准分</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评分标准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评审得分</w:t>
            </w: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1"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w:t>
            </w:r>
          </w:p>
        </w:tc>
        <w:tc>
          <w:tcPr>
            <w:tcW w:w="127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企业规模</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资质等级</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6.0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取得监理乙级资质的得4分；取得监理甲级资质的得5分；每增加一项监理乙级或甲级资质的加1分，最高得6分。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以企业资质证书为准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6"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2</w:t>
            </w:r>
          </w:p>
        </w:tc>
        <w:tc>
          <w:tcPr>
            <w:tcW w:w="12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注册资金</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4.0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企业注册资金达人民币50万以下的得1分；50-100万元的得2分；100万元-300万的得3分；300万以上的得4分。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以企业营业执照为准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3</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经济效益</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12.0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纳税额度</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12.0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企业在本辖区内依法纳税得基准分9分；上一年度上缴税收达人民币150万元以上的加3分，最高得12分。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以相关纳税证明或企业年度财务统计报表为准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6"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4</w:t>
            </w:r>
          </w:p>
        </w:tc>
        <w:tc>
          <w:tcPr>
            <w:tcW w:w="127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技术能力</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7.0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技术人员</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5.0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eastAsia" w:ascii="仿宋_GB2312" w:hAnsi="宋体" w:eastAsia="仿宋_GB2312"/>
                <w:color w:val="auto"/>
                <w:kern w:val="0"/>
                <w:sz w:val="21"/>
              </w:rPr>
              <w:t>技术人员数量符合现行的资质规定要求的得5分，不符合的不得分。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企业提供相应名单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2"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5</w:t>
            </w:r>
          </w:p>
        </w:tc>
        <w:tc>
          <w:tcPr>
            <w:tcW w:w="12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优秀人员</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2.0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技术人员每取得一项上一年度（以获奖证书颁发时间为准）市级（或以上）的优秀人员奖项的得2分。（同一人员按最高奖项计算）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以相关部门颁发给企业的证明材料、人员岗位证书和企业为相关人员购买社保的证明为准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6</w:t>
            </w:r>
          </w:p>
        </w:tc>
        <w:tc>
          <w:tcPr>
            <w:tcW w:w="127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经营能力</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8.0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净资产收益率</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4.0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本项基准分3.0分；净资产收益率超过20%后每增加1个百分点的再得0.4分，最高得4分。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以企业年度财务统计报表为准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7</w:t>
            </w:r>
          </w:p>
        </w:tc>
        <w:tc>
          <w:tcPr>
            <w:tcW w:w="12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营业收入</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4.0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本项基准分3.0分；营业收入高于人民币2500万元后每增加人民币200万元的再得0.4分，最高得4分。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4"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8</w:t>
            </w:r>
          </w:p>
        </w:tc>
        <w:tc>
          <w:tcPr>
            <w:tcW w:w="127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企业管理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12.0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规章制度</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7.0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建立完善、有针对性的监理工作准则、监理日志及考勤制度、监理例会制度、监理月报制度、设计交底与图纸会审、施工组织设计（方案）审查制度、建筑材料进场质量控制、施工现场旁站与巡视、工程检查验收签证、质量安全事故报告和处理、监理资料整理与归档、监理工作考核评价、安全教育培训和考试管理、安全生产管理、安全作业行为规范等制度的按比例得分，最高得7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restart"/>
            <w:tcBorders>
              <w:top w:val="nil"/>
              <w:left w:val="single" w:color="000000"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9</w:t>
            </w:r>
          </w:p>
        </w:tc>
        <w:tc>
          <w:tcPr>
            <w:tcW w:w="12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管理体系</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3.0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通过质量、环境、职业健康安全体系认证的</w:t>
            </w:r>
            <w:r>
              <w:rPr>
                <w:rFonts w:hint="eastAsia" w:ascii="仿宋_GB2312" w:hAnsi="宋体" w:eastAsia="仿宋_GB2312"/>
                <w:color w:val="auto"/>
                <w:kern w:val="0"/>
                <w:sz w:val="21"/>
              </w:rPr>
              <w:t>按比例得分，</w:t>
            </w:r>
            <w:r>
              <w:rPr>
                <w:rFonts w:hint="default" w:ascii="仿宋_GB2312" w:hAnsi="宋体" w:eastAsia="仿宋_GB2312"/>
                <w:color w:val="auto"/>
                <w:kern w:val="0"/>
                <w:sz w:val="21"/>
              </w:rPr>
              <w:t>最高得3分。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continue"/>
            <w:tcBorders>
              <w:top w:val="nil"/>
              <w:left w:val="single" w:color="000000"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2"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10</w:t>
            </w:r>
          </w:p>
        </w:tc>
        <w:tc>
          <w:tcPr>
            <w:tcW w:w="12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管理手段</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2.0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企业建有网站或微信公众号或采用信息管理化OA管理系统或其它信息化管理系统的得2分。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continue"/>
            <w:tcBorders>
              <w:top w:val="nil"/>
              <w:left w:val="single" w:color="000000"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0"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11</w:t>
            </w:r>
          </w:p>
        </w:tc>
        <w:tc>
          <w:tcPr>
            <w:tcW w:w="1270" w:type="dxa"/>
            <w:vMerge w:val="restart"/>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质量安全管理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20.0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质量管理行为</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质量通病防治细则、监理旁站方案制订有针对性并落实执行的得基准分8分；所监理的项目获得上一年度（以获奖证书颁发时间为准）市级以上质量奖项，或上一年度在市建设行政主管部门组织的各项检查中受到1次以上通报表扬或在区建设行政主管部门组织的各项检查中受到2次以上通报表扬的得2分（同一工程按最高奖项计，不重复计分</w:t>
            </w:r>
            <w:r>
              <w:rPr>
                <w:rFonts w:hint="eastAsia" w:ascii="仿宋_GB2312" w:hAnsi="宋体" w:eastAsia="仿宋_GB2312"/>
                <w:color w:val="auto"/>
                <w:kern w:val="0"/>
                <w:sz w:val="21"/>
              </w:rPr>
              <w:t>），最高得10分。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continue"/>
            <w:tcBorders>
              <w:top w:val="nil"/>
              <w:left w:val="single" w:color="000000"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00" w:hRule="atLeast"/>
        </w:trPr>
        <w:tc>
          <w:tcPr>
            <w:tcW w:w="564"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12</w:t>
            </w:r>
          </w:p>
        </w:tc>
        <w:tc>
          <w:tcPr>
            <w:tcW w:w="1270" w:type="dxa"/>
            <w:vMerge w:val="continue"/>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安全文明施工管理行为</w:t>
            </w:r>
          </w:p>
        </w:tc>
        <w:tc>
          <w:tcPr>
            <w:tcW w:w="798"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10.0 </w:t>
            </w:r>
          </w:p>
        </w:tc>
        <w:tc>
          <w:tcPr>
            <w:tcW w:w="761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安全监理实施细则、安全监理方案制订有针对性并落实执行的得基准分8分；所监理的项目获得上一年度（以获奖证书颁发时间为准）市级以上安全文明施工奖项，或上一年度在市建设行政主管部门组织的各项检查中受到1次以上通报表扬或在区建设行政主管部门组织的各项检查中受到2次以上通报表扬的得2分。</w:t>
            </w:r>
            <w:r>
              <w:rPr>
                <w:rFonts w:hint="eastAsia" w:ascii="仿宋_GB2312" w:hAnsi="宋体" w:eastAsia="仿宋_GB2312"/>
                <w:color w:val="auto"/>
                <w:kern w:val="0"/>
                <w:sz w:val="21"/>
              </w:rPr>
              <w:t>（同一工程按最高奖项计，不重复计分），最高得10分。</w:t>
            </w:r>
          </w:p>
        </w:tc>
        <w:tc>
          <w:tcPr>
            <w:tcW w:w="111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continue"/>
            <w:tcBorders>
              <w:top w:val="nil"/>
              <w:left w:val="single" w:color="000000"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564" w:type="dxa"/>
            <w:tcBorders>
              <w:top w:val="single" w:color="auto" w:sz="4" w:space="0"/>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13</w:t>
            </w:r>
          </w:p>
        </w:tc>
        <w:tc>
          <w:tcPr>
            <w:tcW w:w="1270"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市场行为</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300"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合同履行</w:t>
            </w:r>
          </w:p>
        </w:tc>
        <w:tc>
          <w:tcPr>
            <w:tcW w:w="798"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5.0 </w:t>
            </w:r>
          </w:p>
        </w:tc>
        <w:tc>
          <w:tcPr>
            <w:tcW w:w="7613"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合法经营，无受过行政主管部门处罚的得基准分4分；获得工商管理部门颁发的“守合同重信用企业”称号：连续4年至6年的加0.5分，连续7年至9年的加1分，</w:t>
            </w:r>
            <w:r>
              <w:rPr>
                <w:rFonts w:hint="eastAsia" w:ascii="仿宋_GB2312" w:hAnsi="宋体" w:eastAsia="仿宋_GB2312"/>
                <w:color w:val="auto"/>
                <w:kern w:val="0"/>
                <w:sz w:val="21"/>
              </w:rPr>
              <w:t>最高得5分。</w:t>
            </w:r>
          </w:p>
        </w:tc>
        <w:tc>
          <w:tcPr>
            <w:tcW w:w="1110"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continue"/>
            <w:tcBorders>
              <w:top w:val="single" w:color="auto" w:sz="4" w:space="0"/>
              <w:left w:val="single" w:color="000000"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4" w:hRule="atLeast"/>
        </w:trPr>
        <w:tc>
          <w:tcPr>
            <w:tcW w:w="564"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14</w:t>
            </w:r>
          </w:p>
        </w:tc>
        <w:tc>
          <w:tcPr>
            <w:tcW w:w="1270" w:type="dxa"/>
            <w:vMerge w:val="continue"/>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各类表彰</w:t>
            </w:r>
          </w:p>
        </w:tc>
        <w:tc>
          <w:tcPr>
            <w:tcW w:w="798"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5.0 </w:t>
            </w:r>
          </w:p>
        </w:tc>
        <w:tc>
          <w:tcPr>
            <w:tcW w:w="7613"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符合下列标准的，按分值得分，最高得5分：</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1、获得上一年度（以获奖证书颁发时间为准）区级（含区级）以上建设行政主管部门或建筑行业协会各类表彰的，每项分别得2分；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2、积极协助、参与本协会或监理分会组织相关培训学习、检查、学术讨论，编制相关标准、定额、课题、培训教材、工作办法等的，每次得2分；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3、积极参与本协会组织的各类文件意见收集的，每次得1分。</w:t>
            </w:r>
          </w:p>
        </w:tc>
        <w:tc>
          <w:tcPr>
            <w:tcW w:w="111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以企业或协会（监理分会）提供的相关奖励、签到表、检查资料及相关证明文件为准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4"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15</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信用评价</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15.0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诚信管理</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15.0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eastAsia" w:ascii="仿宋_GB2312" w:hAnsi="宋体" w:eastAsia="仿宋_GB2312"/>
                <w:color w:val="auto"/>
                <w:kern w:val="0"/>
                <w:sz w:val="21"/>
              </w:rPr>
              <w:t>在佛山市建筑行业诚信管理平台最新考评年度考评等级为B级以上的得基准分10分，考评等级为A级的在基准分上再加5分，最高得15分。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以佛山市建筑行业诚信管理平台数据为准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16</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社会行为</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6.0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社会服务</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6.0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1、参加过抗震、救灾等工作的得3分。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2、参加过本协会组织的捐赠帮扶等慈善活动的得3分。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以企业或协会（监理分会）提供的相关证明材料为准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7"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17</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加分项</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支持协会工作</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210" w:afterLines="0" w:line="260" w:lineRule="exact"/>
              <w:jc w:val="left"/>
              <w:textAlignment w:val="center"/>
              <w:rPr>
                <w:rFonts w:hint="default" w:ascii="仿宋_GB2312" w:hAnsi="宋体" w:eastAsia="仿宋_GB2312"/>
                <w:color w:val="auto"/>
                <w:sz w:val="21"/>
              </w:rPr>
            </w:pPr>
            <w:r>
              <w:rPr>
                <w:rFonts w:hint="eastAsia" w:ascii="仿宋_GB2312" w:hAnsi="宋体" w:eastAsia="仿宋_GB2312"/>
                <w:color w:val="auto"/>
                <w:kern w:val="0"/>
                <w:sz w:val="21"/>
              </w:rPr>
              <w:t>1、在本协会按时缴交会费，无拖欠会费的加2分；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2、在本协会或监理分会中担任副会长（含副会长）以上的加2分；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3、积极参加本协会发动、号召及组织的各类活动或主动配合、帮助本协会完成年度各项工作的加3分；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4、积极为本协会的发展和运作建言或出谋划策的加3分。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以企业或协会（监理分会）提供的相关证明材料为准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9"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b/>
                <w:color w:val="auto"/>
                <w:kern w:val="0"/>
                <w:sz w:val="21"/>
              </w:rPr>
              <w:t>汇总</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rPr>
                <w:rFonts w:hint="default" w:ascii="仿宋_GB2312" w:hAnsi="宋体" w:eastAsia="仿宋_GB2312"/>
                <w:color w:val="auto"/>
                <w:sz w:val="21"/>
              </w:rPr>
            </w:pP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4280" w:type="dxa"/>
            <w:gridSpan w:val="7"/>
            <w:tcBorders>
              <w:top w:val="nil"/>
              <w:left w:val="nil"/>
              <w:bottom w:val="nil"/>
              <w:right w:val="nil"/>
              <w:tl2br w:val="nil"/>
              <w:tr2bl w:val="nil"/>
            </w:tcBorders>
            <w:noWrap w:val="0"/>
            <w:vAlign w:val="center"/>
          </w:tcPr>
          <w:p>
            <w:pPr>
              <w:widowControl/>
              <w:spacing w:beforeLines="0" w:afterLines="0"/>
              <w:jc w:val="left"/>
              <w:textAlignment w:val="center"/>
              <w:rPr>
                <w:rFonts w:hint="default" w:ascii="仿宋_GB2312" w:hAnsi="宋体" w:eastAsia="仿宋_GB2312"/>
                <w:color w:val="auto"/>
                <w:kern w:val="0"/>
                <w:sz w:val="22"/>
              </w:rPr>
            </w:pPr>
            <w:r>
              <w:rPr>
                <w:rFonts w:hint="default" w:ascii="仿宋_GB2312" w:hAnsi="宋体" w:eastAsia="仿宋_GB2312"/>
                <w:color w:val="auto"/>
                <w:kern w:val="0"/>
                <w:sz w:val="22"/>
              </w:rPr>
              <w:t>注：1、各项评价指标未达到基本要求的不得分，每项最高得分不超过该项标准分，“以上”包含本数，“以下”不包含本数，最低得分为0分，不</w:t>
            </w:r>
          </w:p>
          <w:p>
            <w:pPr>
              <w:widowControl/>
              <w:spacing w:beforeLines="0" w:afterLines="0"/>
              <w:ind w:firstLine="838" w:firstLineChars="381"/>
              <w:jc w:val="left"/>
              <w:textAlignment w:val="center"/>
              <w:rPr>
                <w:rFonts w:hint="default" w:ascii="仿宋_GB2312" w:hAnsi="宋体" w:eastAsia="仿宋_GB2312"/>
                <w:color w:val="auto"/>
                <w:sz w:val="22"/>
              </w:rPr>
            </w:pPr>
            <w:r>
              <w:rPr>
                <w:rFonts w:hint="default" w:ascii="仿宋_GB2312" w:hAnsi="宋体" w:eastAsia="仿宋_GB2312"/>
                <w:color w:val="auto"/>
                <w:kern w:val="0"/>
                <w:sz w:val="22"/>
              </w:rPr>
              <w:t>出现负分。</w:t>
            </w:r>
            <w:r>
              <w:rPr>
                <w:rFonts w:hint="default" w:ascii="仿宋_GB2312" w:hAnsi="宋体" w:eastAsia="仿宋_GB2312"/>
                <w:color w:val="auto"/>
                <w:kern w:val="0"/>
                <w:sz w:val="22"/>
              </w:rPr>
              <w:br w:type="textWrapping"/>
            </w:r>
            <w:r>
              <w:rPr>
                <w:rFonts w:hint="default" w:ascii="仿宋_GB2312" w:hAnsi="宋体" w:eastAsia="仿宋_GB2312"/>
                <w:color w:val="auto"/>
                <w:kern w:val="0"/>
                <w:sz w:val="22"/>
              </w:rPr>
              <w:t xml:space="preserve">    2、</w:t>
            </w:r>
            <w:r>
              <w:rPr>
                <w:rFonts w:hint="eastAsia" w:ascii="仿宋_GB2312" w:hAnsi="宋体" w:eastAsia="仿宋_GB2312"/>
                <w:color w:val="auto"/>
                <w:kern w:val="0"/>
                <w:sz w:val="22"/>
              </w:rPr>
              <w:t>以上资料均提供复印件（加盖公章），相关原件现场核对后退回。</w:t>
            </w:r>
          </w:p>
        </w:tc>
      </w:tr>
    </w:tbl>
    <w:p>
      <w:pPr>
        <w:spacing w:beforeLines="0" w:afterLines="0"/>
        <w:rPr>
          <w:rFonts w:hint="default"/>
          <w:color w:val="auto"/>
          <w:sz w:val="21"/>
        </w:rPr>
      </w:pPr>
    </w:p>
    <w:p>
      <w:pPr>
        <w:rPr>
          <w:color w:val="auto"/>
        </w:rPr>
      </w:pPr>
    </w:p>
    <w:p/>
    <w:sectPr>
      <w:pgSz w:w="16838" w:h="11906" w:orient="landscape"/>
      <w:pgMar w:top="1803" w:right="1304" w:bottom="1485"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spacing w:beforeLines="0" w:afterLines="0"/>
      <w:rPr>
        <w:rStyle w:val="8"/>
        <w:rFonts w:hint="default"/>
        <w:sz w:val="18"/>
      </w:rPr>
    </w:pPr>
    <w:r>
      <w:rPr>
        <w:rFonts w:hint="default"/>
        <w:sz w:val="18"/>
      </w:rPr>
      <w:fldChar w:fldCharType="begin"/>
    </w:r>
    <w:r>
      <w:rPr>
        <w:rStyle w:val="8"/>
        <w:rFonts w:hint="default"/>
        <w:sz w:val="18"/>
      </w:rPr>
      <w:instrText xml:space="preserve">PAGE  </w:instrText>
    </w:r>
    <w:r>
      <w:rPr>
        <w:rFonts w:hint="default"/>
        <w:sz w:val="18"/>
      </w:rPr>
      <w:fldChar w:fldCharType="separate"/>
    </w:r>
    <w:r>
      <w:rPr>
        <w:rStyle w:val="8"/>
        <w:rFonts w:hint="default"/>
        <w:sz w:val="18"/>
      </w:rPr>
      <w:t>1</w:t>
    </w:r>
    <w:r>
      <w:rPr>
        <w:rFonts w:hint="default"/>
        <w:sz w:val="18"/>
      </w:rPr>
      <w:fldChar w:fldCharType="end"/>
    </w:r>
  </w:p>
  <w:p>
    <w:pPr>
      <w:pStyle w:val="3"/>
      <w:spacing w:beforeLines="0" w:afterLines="0"/>
      <w:rPr>
        <w:rFonts w:hint="default"/>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Lines="0" w:afterLines="0"/>
      <w:rPr>
        <w:rFonts w:hint="default"/>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98"/>
    <w:rsid w:val="00061224"/>
    <w:rsid w:val="00205F38"/>
    <w:rsid w:val="002A3513"/>
    <w:rsid w:val="002D7298"/>
    <w:rsid w:val="00D14510"/>
    <w:rsid w:val="00E7444B"/>
    <w:rsid w:val="00E771DA"/>
    <w:rsid w:val="01216E64"/>
    <w:rsid w:val="035E0628"/>
    <w:rsid w:val="037E4B40"/>
    <w:rsid w:val="04591994"/>
    <w:rsid w:val="04C86CA0"/>
    <w:rsid w:val="07294D45"/>
    <w:rsid w:val="07506CE6"/>
    <w:rsid w:val="080A2C01"/>
    <w:rsid w:val="08DE7070"/>
    <w:rsid w:val="0AB0047A"/>
    <w:rsid w:val="0B7603EE"/>
    <w:rsid w:val="0C9E6DF7"/>
    <w:rsid w:val="0E4F0FEB"/>
    <w:rsid w:val="101E4FA2"/>
    <w:rsid w:val="110978CC"/>
    <w:rsid w:val="11291F55"/>
    <w:rsid w:val="125773EC"/>
    <w:rsid w:val="12F6251D"/>
    <w:rsid w:val="145142DF"/>
    <w:rsid w:val="159A1E80"/>
    <w:rsid w:val="15F12397"/>
    <w:rsid w:val="16FF3E27"/>
    <w:rsid w:val="1715256E"/>
    <w:rsid w:val="187231E7"/>
    <w:rsid w:val="18EF7E41"/>
    <w:rsid w:val="1A0C1E1F"/>
    <w:rsid w:val="1A9B0290"/>
    <w:rsid w:val="1F565DAD"/>
    <w:rsid w:val="20725192"/>
    <w:rsid w:val="23EA2CAF"/>
    <w:rsid w:val="24B67058"/>
    <w:rsid w:val="255E068E"/>
    <w:rsid w:val="25DC4EF5"/>
    <w:rsid w:val="27906B94"/>
    <w:rsid w:val="28A84DD9"/>
    <w:rsid w:val="28D0076B"/>
    <w:rsid w:val="2D1414C7"/>
    <w:rsid w:val="2D9B3543"/>
    <w:rsid w:val="30A720E9"/>
    <w:rsid w:val="30BF11DD"/>
    <w:rsid w:val="31440946"/>
    <w:rsid w:val="314F15F5"/>
    <w:rsid w:val="32775E49"/>
    <w:rsid w:val="34E821EF"/>
    <w:rsid w:val="37BC5334"/>
    <w:rsid w:val="38047A92"/>
    <w:rsid w:val="38AC6D7F"/>
    <w:rsid w:val="39366EFF"/>
    <w:rsid w:val="3ABA0047"/>
    <w:rsid w:val="3B677134"/>
    <w:rsid w:val="3B78738C"/>
    <w:rsid w:val="3E4E52B1"/>
    <w:rsid w:val="3EC10DF1"/>
    <w:rsid w:val="40DA5E44"/>
    <w:rsid w:val="411769FA"/>
    <w:rsid w:val="41E81EA7"/>
    <w:rsid w:val="44006049"/>
    <w:rsid w:val="46635EAA"/>
    <w:rsid w:val="46962FD4"/>
    <w:rsid w:val="46C23472"/>
    <w:rsid w:val="48481CEF"/>
    <w:rsid w:val="4A4208D6"/>
    <w:rsid w:val="4B627A25"/>
    <w:rsid w:val="4B8664C9"/>
    <w:rsid w:val="4BDB5CE4"/>
    <w:rsid w:val="4C334AC0"/>
    <w:rsid w:val="4C75018C"/>
    <w:rsid w:val="4DD30B52"/>
    <w:rsid w:val="4E6463FE"/>
    <w:rsid w:val="4F9D04F9"/>
    <w:rsid w:val="515D5642"/>
    <w:rsid w:val="517A5E7F"/>
    <w:rsid w:val="54F44618"/>
    <w:rsid w:val="58203B9A"/>
    <w:rsid w:val="59541A18"/>
    <w:rsid w:val="5A0E0B8E"/>
    <w:rsid w:val="5AAC58D4"/>
    <w:rsid w:val="5AFD041D"/>
    <w:rsid w:val="5B6D3635"/>
    <w:rsid w:val="5D543BAE"/>
    <w:rsid w:val="5E24463B"/>
    <w:rsid w:val="612F20AC"/>
    <w:rsid w:val="62AB3A9D"/>
    <w:rsid w:val="640A3250"/>
    <w:rsid w:val="642565CF"/>
    <w:rsid w:val="657445B7"/>
    <w:rsid w:val="65906D7F"/>
    <w:rsid w:val="6E945623"/>
    <w:rsid w:val="70562B16"/>
    <w:rsid w:val="70653B21"/>
    <w:rsid w:val="71CD4710"/>
    <w:rsid w:val="73A01D2D"/>
    <w:rsid w:val="73B93022"/>
    <w:rsid w:val="73B938D7"/>
    <w:rsid w:val="747F1A28"/>
    <w:rsid w:val="74B5432E"/>
    <w:rsid w:val="7550547D"/>
    <w:rsid w:val="75BD7798"/>
    <w:rsid w:val="76333B59"/>
    <w:rsid w:val="76C94EF9"/>
    <w:rsid w:val="772D3F51"/>
    <w:rsid w:val="78C179E1"/>
    <w:rsid w:val="797940FC"/>
    <w:rsid w:val="7A971890"/>
    <w:rsid w:val="7BC730C7"/>
    <w:rsid w:val="7DD15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unhideWhenUsed/>
    <w:qFormat/>
    <w:uiPriority w:val="39"/>
    <w:pPr>
      <w:keepNext w:val="0"/>
      <w:keepLines w:val="0"/>
      <w:widowControl w:val="0"/>
      <w:suppressLineNumbers w:val="0"/>
      <w:spacing w:before="0" w:beforeAutospacing="0" w:after="0" w:afterAutospacing="0"/>
      <w:ind w:left="420" w:leftChars="200" w:right="0"/>
      <w:jc w:val="both"/>
    </w:pPr>
    <w:rPr>
      <w:rFonts w:hint="default" w:ascii="Calibri" w:hAnsi="Calibri" w:eastAsia="宋体" w:cs="Times New Roman"/>
      <w:kern w:val="2"/>
      <w:sz w:val="21"/>
      <w:szCs w:val="24"/>
      <w:lang w:val="en-US" w:eastAsia="zh-CN" w:bidi="ar"/>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semiHidden/>
    <w:unhideWhenUsed/>
    <w:qFormat/>
    <w:uiPriority w:val="99"/>
    <w:pPr>
      <w:spacing w:before="0" w:beforeAutospacing="0" w:after="150" w:afterAutospacing="0"/>
      <w:ind w:left="0" w:right="0"/>
      <w:jc w:val="left"/>
    </w:pPr>
    <w:rPr>
      <w:kern w:val="0"/>
      <w:sz w:val="24"/>
      <w:lang w:val="en-US" w:eastAsia="zh-CN" w:bidi="ar"/>
    </w:rPr>
  </w:style>
  <w:style w:type="character" w:styleId="7">
    <w:name w:val="Strong"/>
    <w:basedOn w:val="6"/>
    <w:qFormat/>
    <w:uiPriority w:val="22"/>
    <w:rPr>
      <w:b/>
    </w:rPr>
  </w:style>
  <w:style w:type="character" w:styleId="8">
    <w:name w:val="page number"/>
    <w:basedOn w:val="6"/>
    <w:qFormat/>
    <w:uiPriority w:val="0"/>
  </w:style>
  <w:style w:type="character" w:styleId="9">
    <w:name w:val="FollowedHyperlink"/>
    <w:basedOn w:val="6"/>
    <w:semiHidden/>
    <w:unhideWhenUsed/>
    <w:qFormat/>
    <w:uiPriority w:val="99"/>
    <w:rPr>
      <w:color w:val="252525"/>
      <w:u w:val="none"/>
    </w:rPr>
  </w:style>
  <w:style w:type="character" w:styleId="10">
    <w:name w:val="HTML Definition"/>
    <w:basedOn w:val="6"/>
    <w:semiHidden/>
    <w:unhideWhenUsed/>
    <w:qFormat/>
    <w:uiPriority w:val="99"/>
    <w:rPr>
      <w:i/>
    </w:rPr>
  </w:style>
  <w:style w:type="character" w:styleId="11">
    <w:name w:val="Hyperlink"/>
    <w:basedOn w:val="6"/>
    <w:semiHidden/>
    <w:unhideWhenUsed/>
    <w:qFormat/>
    <w:uiPriority w:val="99"/>
    <w:rPr>
      <w:color w:val="252525"/>
      <w:u w:val="none"/>
    </w:rPr>
  </w:style>
  <w:style w:type="character" w:styleId="12">
    <w:name w:val="HTML Code"/>
    <w:basedOn w:val="6"/>
    <w:semiHidden/>
    <w:unhideWhenUsed/>
    <w:qFormat/>
    <w:uiPriority w:val="99"/>
    <w:rPr>
      <w:rFonts w:ascii="monospace" w:hAnsi="monospace" w:eastAsia="monospace" w:cs="monospace"/>
      <w:color w:val="C7254E"/>
      <w:sz w:val="21"/>
      <w:szCs w:val="21"/>
      <w:shd w:val="clear" w:fill="F9F2F4"/>
    </w:rPr>
  </w:style>
  <w:style w:type="character" w:styleId="13">
    <w:name w:val="HTML Keyboard"/>
    <w:basedOn w:val="6"/>
    <w:semiHidden/>
    <w:unhideWhenUsed/>
    <w:qFormat/>
    <w:uiPriority w:val="99"/>
    <w:rPr>
      <w:rFonts w:hint="default" w:ascii="monospace" w:hAnsi="monospace" w:eastAsia="monospace" w:cs="monospace"/>
      <w:color w:val="FFFFFF"/>
      <w:sz w:val="21"/>
      <w:szCs w:val="21"/>
      <w:shd w:val="clear" w:fill="333333"/>
    </w:rPr>
  </w:style>
  <w:style w:type="character" w:styleId="14">
    <w:name w:val="HTML Sample"/>
    <w:basedOn w:val="6"/>
    <w:semiHidden/>
    <w:unhideWhenUsed/>
    <w:qFormat/>
    <w:uiPriority w:val="99"/>
    <w:rPr>
      <w:rFonts w:hint="default" w:ascii="monospace" w:hAnsi="monospace" w:eastAsia="monospace" w:cs="monospace"/>
      <w:sz w:val="21"/>
      <w:szCs w:val="21"/>
    </w:rPr>
  </w:style>
  <w:style w:type="table" w:styleId="16">
    <w:name w:val="Table Grid"/>
    <w:basedOn w:val="15"/>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disabled"/>
    <w:basedOn w:val="6"/>
    <w:qFormat/>
    <w:uiPriority w:val="0"/>
    <w:rPr>
      <w:color w:val="BFBFBF"/>
    </w:rPr>
  </w:style>
  <w:style w:type="character" w:customStyle="1" w:styleId="18">
    <w:name w:val="current4"/>
    <w:basedOn w:val="6"/>
    <w:qFormat/>
    <w:uiPriority w:val="0"/>
    <w:rPr>
      <w:color w:val="FFFFFF"/>
      <w:sz w:val="24"/>
      <w:szCs w:val="24"/>
      <w:shd w:val="clear" w:fill="428BCA"/>
    </w:rPr>
  </w:style>
  <w:style w:type="paragraph" w:customStyle="1" w:styleId="19">
    <w:name w:val="_Style 14"/>
    <w:basedOn w:val="1"/>
    <w:next w:val="1"/>
    <w:qFormat/>
    <w:uiPriority w:val="0"/>
    <w:pPr>
      <w:pBdr>
        <w:bottom w:val="single" w:color="auto" w:sz="6" w:space="1"/>
      </w:pBdr>
      <w:jc w:val="center"/>
    </w:pPr>
    <w:rPr>
      <w:rFonts w:ascii="Arial" w:eastAsia="宋体"/>
      <w:vanish/>
      <w:sz w:val="16"/>
    </w:rPr>
  </w:style>
  <w:style w:type="paragraph" w:customStyle="1" w:styleId="20">
    <w:name w:val="_Style 15"/>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100</Words>
  <Characters>572</Characters>
  <Lines>4</Lines>
  <Paragraphs>1</Paragraphs>
  <TotalTime>2</TotalTime>
  <ScaleCrop>false</ScaleCrop>
  <LinksUpToDate>false</LinksUpToDate>
  <CharactersWithSpaces>671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2019-01-04T01:24:00Z</dcterms:created>
  <dc:creator>Administrator</dc:creator>
  <cp:lastModifiedBy>英子</cp:lastModifiedBy>
  <dcterms:modified xsi:type="dcterms:W3CDTF">2019-02-19T04:25:03Z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