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jc w:val="center"/>
        <w:rPr>
          <w:rFonts w:hint="eastAsia" w:ascii="仿宋_GB2312" w:hAnsi="仿宋_GB2312" w:eastAsia="仿宋_GB2312" w:cs="仿宋_GB2312"/>
          <w:color w:val="000000"/>
          <w:sz w:val="44"/>
          <w:szCs w:val="44"/>
        </w:rPr>
      </w:pPr>
      <w:bookmarkStart w:id="0" w:name="_GoBack"/>
      <w:r>
        <w:rPr>
          <w:rFonts w:hint="eastAsia" w:ascii="方正小标宋简体" w:hAnsi="方正小标宋简体" w:eastAsia="方正小标宋简体" w:cs="方正小标宋简体"/>
          <w:color w:val="000000"/>
          <w:sz w:val="44"/>
          <w:szCs w:val="44"/>
        </w:rPr>
        <w:t>租赁补贴家庭人均收入、家庭资产审核标准</w:t>
      </w:r>
    </w:p>
    <w:bookmarkEnd w:id="0"/>
    <w:tbl>
      <w:tblPr>
        <w:tblStyle w:val="2"/>
        <w:tblpPr w:leftFromText="180" w:rightFromText="180" w:vertAnchor="text" w:tblpXSpec="center" w:tblpY="1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2397"/>
        <w:gridCol w:w="4432"/>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909" w:type="dxa"/>
            <w:gridSpan w:val="2"/>
            <w:tcBorders>
              <w:top w:val="single" w:color="auto" w:sz="4" w:space="0"/>
              <w:left w:val="single" w:color="auto" w:sz="4" w:space="0"/>
              <w:bottom w:val="single" w:color="auto" w:sz="4" w:space="0"/>
              <w:right w:val="single" w:color="auto" w:sz="4" w:space="0"/>
            </w:tcBorders>
            <w:noWrap w:val="0"/>
            <w:vAlign w:val="center"/>
          </w:tcPr>
          <w:p>
            <w:pPr>
              <w:pStyle w:val="5"/>
              <w:spacing w:line="320" w:lineRule="exact"/>
              <w:jc w:val="center"/>
              <w:rPr>
                <w:rFonts w:hint="eastAsia" w:ascii="黑体" w:hAnsi="黑体" w:eastAsia="黑体" w:cs="仿宋_GB2312"/>
                <w:bCs/>
                <w:color w:val="000000"/>
                <w:sz w:val="24"/>
                <w:szCs w:val="24"/>
              </w:rPr>
            </w:pPr>
            <w:r>
              <w:rPr>
                <w:rFonts w:hint="eastAsia" w:ascii="黑体" w:hAnsi="黑体" w:eastAsia="黑体" w:cs="仿宋_GB2312"/>
                <w:bCs/>
                <w:color w:val="000000"/>
                <w:sz w:val="24"/>
                <w:szCs w:val="24"/>
              </w:rPr>
              <w:t>保障对象</w:t>
            </w:r>
          </w:p>
        </w:tc>
        <w:tc>
          <w:tcPr>
            <w:tcW w:w="4432" w:type="dxa"/>
            <w:tcBorders>
              <w:top w:val="single" w:color="auto" w:sz="4" w:space="0"/>
              <w:left w:val="single" w:color="auto" w:sz="4" w:space="0"/>
              <w:bottom w:val="single" w:color="auto" w:sz="4" w:space="0"/>
              <w:right w:val="single" w:color="auto" w:sz="4" w:space="0"/>
            </w:tcBorders>
            <w:noWrap w:val="0"/>
            <w:vAlign w:val="center"/>
          </w:tcPr>
          <w:p>
            <w:pPr>
              <w:pStyle w:val="5"/>
              <w:spacing w:line="320" w:lineRule="exact"/>
              <w:jc w:val="center"/>
              <w:rPr>
                <w:rFonts w:hint="eastAsia" w:ascii="黑体" w:hAnsi="黑体" w:eastAsia="黑体" w:cs="仿宋_GB2312"/>
                <w:bCs/>
                <w:color w:val="000000"/>
                <w:sz w:val="24"/>
                <w:szCs w:val="24"/>
              </w:rPr>
            </w:pPr>
            <w:r>
              <w:rPr>
                <w:rFonts w:hint="eastAsia" w:ascii="黑体" w:hAnsi="黑体" w:eastAsia="黑体" w:cs="仿宋_GB2312"/>
                <w:bCs/>
                <w:color w:val="000000"/>
                <w:sz w:val="24"/>
                <w:szCs w:val="24"/>
              </w:rPr>
              <w:t>家庭收入或资产</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pStyle w:val="5"/>
              <w:spacing w:line="320" w:lineRule="exact"/>
              <w:jc w:val="center"/>
              <w:rPr>
                <w:rFonts w:hint="eastAsia" w:ascii="黑体" w:hAnsi="黑体" w:eastAsia="黑体" w:cs="仿宋_GB2312"/>
                <w:bCs/>
                <w:color w:val="000000"/>
                <w:sz w:val="24"/>
                <w:szCs w:val="24"/>
              </w:rPr>
            </w:pPr>
            <w:r>
              <w:rPr>
                <w:rFonts w:hint="eastAsia" w:ascii="黑体" w:hAnsi="黑体" w:eastAsia="黑体" w:cs="仿宋_GB2312"/>
                <w:bCs/>
                <w:color w:val="000000"/>
                <w:sz w:val="24"/>
                <w:szCs w:val="24"/>
              </w:rPr>
              <w:t>人均建筑面积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909" w:type="dxa"/>
            <w:gridSpan w:val="2"/>
            <w:tcBorders>
              <w:top w:val="single" w:color="auto" w:sz="4" w:space="0"/>
              <w:left w:val="single" w:color="auto" w:sz="4" w:space="0"/>
              <w:right w:val="single" w:color="auto" w:sz="4" w:space="0"/>
            </w:tcBorders>
            <w:noWrap w:val="0"/>
            <w:vAlign w:val="center"/>
          </w:tcPr>
          <w:p>
            <w:pPr>
              <w:pStyle w:val="5"/>
              <w:spacing w:line="320" w:lineRule="exact"/>
              <w:jc w:val="lef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南海区户籍住房困难家庭</w:t>
            </w:r>
          </w:p>
        </w:tc>
        <w:tc>
          <w:tcPr>
            <w:tcW w:w="4432" w:type="dxa"/>
            <w:vMerge w:val="restart"/>
            <w:tcBorders>
              <w:top w:val="single" w:color="auto" w:sz="4" w:space="0"/>
              <w:left w:val="single" w:color="auto" w:sz="4" w:space="0"/>
              <w:right w:val="single" w:color="auto" w:sz="4" w:space="0"/>
            </w:tcBorders>
            <w:noWrap w:val="0"/>
            <w:vAlign w:val="center"/>
          </w:tcPr>
          <w:p>
            <w:pPr>
              <w:pStyle w:val="5"/>
              <w:spacing w:line="320" w:lineRule="exac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1.申请家庭人均收入低于南海区上一年度城镇居民人均可支配收入；</w:t>
            </w:r>
          </w:p>
          <w:p>
            <w:pPr>
              <w:pStyle w:val="5"/>
              <w:spacing w:line="320" w:lineRule="exac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2．申请人和家庭成员为佛山市内注册资本累计不超过100万元的企业（公司）法定代表人（股东）；</w:t>
            </w:r>
          </w:p>
          <w:p>
            <w:pPr>
              <w:pStyle w:val="5"/>
              <w:spacing w:line="320" w:lineRule="exac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3．申请人和家庭成员在佛山市内拥有汽车的，汽车价值需低于15万元，且数量不得超过1台。</w:t>
            </w:r>
          </w:p>
        </w:tc>
        <w:tc>
          <w:tcPr>
            <w:tcW w:w="2068" w:type="dxa"/>
            <w:vMerge w:val="restart"/>
            <w:tcBorders>
              <w:top w:val="single" w:color="auto" w:sz="4" w:space="0"/>
              <w:left w:val="single" w:color="auto" w:sz="4" w:space="0"/>
              <w:right w:val="single" w:color="auto" w:sz="4" w:space="0"/>
            </w:tcBorders>
            <w:noWrap w:val="0"/>
            <w:vAlign w:val="center"/>
          </w:tcPr>
          <w:p>
            <w:pPr>
              <w:pStyle w:val="5"/>
              <w:spacing w:line="320" w:lineRule="exact"/>
              <w:jc w:val="center"/>
              <w:rPr>
                <w:rFonts w:hint="eastAsia" w:ascii="宋体" w:hAnsi="宋体" w:eastAsia="仿宋_GB2312" w:cs="仿宋_GB2312"/>
                <w:color w:val="000000"/>
                <w:sz w:val="24"/>
                <w:szCs w:val="24"/>
              </w:rPr>
            </w:pPr>
          </w:p>
          <w:p>
            <w:pPr>
              <w:pStyle w:val="5"/>
              <w:spacing w:line="320" w:lineRule="exact"/>
              <w:jc w:val="center"/>
              <w:rPr>
                <w:rFonts w:hint="eastAsia" w:ascii="宋体" w:hAnsi="宋体" w:eastAsia="仿宋_GB2312" w:cs="仿宋_GB2312"/>
                <w:color w:val="000000"/>
                <w:sz w:val="24"/>
                <w:szCs w:val="24"/>
              </w:rPr>
            </w:pPr>
          </w:p>
          <w:p>
            <w:pPr>
              <w:pStyle w:val="5"/>
              <w:spacing w:line="320" w:lineRule="exact"/>
              <w:jc w:val="center"/>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在佛山市内无自有住房，或现自有住房人均建筑面积低于15平方米（含15平方米）。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2909" w:type="dxa"/>
            <w:gridSpan w:val="2"/>
            <w:tcBorders>
              <w:left w:val="single" w:color="auto" w:sz="4" w:space="0"/>
              <w:bottom w:val="single" w:color="auto" w:sz="4" w:space="0"/>
              <w:right w:val="single" w:color="auto" w:sz="4" w:space="0"/>
            </w:tcBorders>
            <w:noWrap w:val="0"/>
            <w:vAlign w:val="center"/>
          </w:tcPr>
          <w:p>
            <w:pPr>
              <w:pStyle w:val="5"/>
              <w:spacing w:line="320" w:lineRule="exact"/>
              <w:jc w:val="lef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佛山市非南海区户籍住房困难家庭</w:t>
            </w:r>
          </w:p>
        </w:tc>
        <w:tc>
          <w:tcPr>
            <w:tcW w:w="4432" w:type="dxa"/>
            <w:vMerge w:val="continue"/>
            <w:tcBorders>
              <w:left w:val="single" w:color="auto" w:sz="4" w:space="0"/>
              <w:bottom w:val="single" w:color="auto" w:sz="4" w:space="0"/>
              <w:right w:val="single" w:color="auto" w:sz="4" w:space="0"/>
            </w:tcBorders>
            <w:noWrap w:val="0"/>
            <w:vAlign w:val="center"/>
          </w:tcPr>
          <w:p>
            <w:pPr>
              <w:pStyle w:val="5"/>
              <w:spacing w:line="320" w:lineRule="exact"/>
              <w:jc w:val="left"/>
              <w:rPr>
                <w:rFonts w:hint="eastAsia" w:ascii="宋体" w:hAnsi="宋体" w:eastAsia="仿宋_GB2312" w:cs="仿宋_GB2312"/>
                <w:color w:val="000000"/>
                <w:sz w:val="24"/>
                <w:szCs w:val="24"/>
              </w:rPr>
            </w:pPr>
          </w:p>
        </w:tc>
        <w:tc>
          <w:tcPr>
            <w:tcW w:w="2068" w:type="dxa"/>
            <w:vMerge w:val="continue"/>
            <w:tcBorders>
              <w:left w:val="single" w:color="auto" w:sz="4" w:space="0"/>
              <w:right w:val="single" w:color="auto" w:sz="4" w:space="0"/>
            </w:tcBorders>
            <w:noWrap w:val="0"/>
            <w:vAlign w:val="center"/>
          </w:tcPr>
          <w:p>
            <w:pPr>
              <w:pStyle w:val="5"/>
              <w:spacing w:line="320" w:lineRule="exact"/>
              <w:jc w:val="left"/>
              <w:rPr>
                <w:rFonts w:hint="eastAsia" w:ascii="宋体" w:hAnsi="宋体"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2909" w:type="dxa"/>
            <w:gridSpan w:val="2"/>
            <w:tcBorders>
              <w:left w:val="single" w:color="auto" w:sz="4" w:space="0"/>
              <w:bottom w:val="single" w:color="auto" w:sz="4" w:space="0"/>
              <w:right w:val="single" w:color="auto" w:sz="4" w:space="0"/>
            </w:tcBorders>
            <w:noWrap w:val="0"/>
            <w:vAlign w:val="center"/>
          </w:tcPr>
          <w:p>
            <w:pPr>
              <w:pStyle w:val="5"/>
              <w:spacing w:line="320" w:lineRule="exact"/>
              <w:jc w:val="lef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新市民住房困难家庭</w:t>
            </w:r>
          </w:p>
        </w:tc>
        <w:tc>
          <w:tcPr>
            <w:tcW w:w="4432" w:type="dxa"/>
            <w:vMerge w:val="continue"/>
            <w:tcBorders>
              <w:left w:val="single" w:color="auto" w:sz="4" w:space="0"/>
              <w:bottom w:val="single" w:color="auto" w:sz="4" w:space="0"/>
              <w:right w:val="single" w:color="auto" w:sz="4" w:space="0"/>
            </w:tcBorders>
            <w:noWrap w:val="0"/>
            <w:vAlign w:val="center"/>
          </w:tcPr>
          <w:p>
            <w:pPr>
              <w:pStyle w:val="5"/>
              <w:spacing w:line="320" w:lineRule="exact"/>
              <w:jc w:val="left"/>
              <w:rPr>
                <w:rFonts w:hint="eastAsia" w:ascii="宋体" w:hAnsi="宋体" w:eastAsia="仿宋_GB2312" w:cs="仿宋_GB2312"/>
                <w:color w:val="000000"/>
                <w:sz w:val="24"/>
                <w:szCs w:val="24"/>
              </w:rPr>
            </w:pPr>
          </w:p>
        </w:tc>
        <w:tc>
          <w:tcPr>
            <w:tcW w:w="2068" w:type="dxa"/>
            <w:vMerge w:val="continue"/>
            <w:tcBorders>
              <w:left w:val="single" w:color="auto" w:sz="4" w:space="0"/>
              <w:right w:val="single" w:color="auto" w:sz="4" w:space="0"/>
            </w:tcBorders>
            <w:noWrap w:val="0"/>
            <w:vAlign w:val="center"/>
          </w:tcPr>
          <w:p>
            <w:pPr>
              <w:pStyle w:val="5"/>
              <w:spacing w:line="320" w:lineRule="exact"/>
              <w:jc w:val="left"/>
              <w:rPr>
                <w:rFonts w:hint="eastAsia" w:ascii="宋体" w:hAnsi="宋体"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5" w:hRule="atLeast"/>
        </w:trPr>
        <w:tc>
          <w:tcPr>
            <w:tcW w:w="512" w:type="dxa"/>
            <w:tcBorders>
              <w:top w:val="single" w:color="auto" w:sz="4" w:space="0"/>
              <w:left w:val="single" w:color="auto" w:sz="4" w:space="0"/>
              <w:bottom w:val="single" w:color="auto" w:sz="4" w:space="0"/>
              <w:right w:val="single" w:color="auto" w:sz="4" w:space="0"/>
            </w:tcBorders>
            <w:noWrap w:val="0"/>
            <w:vAlign w:val="center"/>
          </w:tcPr>
          <w:p>
            <w:pPr>
              <w:pStyle w:val="5"/>
              <w:spacing w:line="320" w:lineRule="exact"/>
              <w:jc w:val="center"/>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备 注</w:t>
            </w:r>
          </w:p>
        </w:tc>
        <w:tc>
          <w:tcPr>
            <w:tcW w:w="8897" w:type="dxa"/>
            <w:gridSpan w:val="3"/>
            <w:tcBorders>
              <w:top w:val="single" w:color="auto" w:sz="4" w:space="0"/>
              <w:left w:val="single" w:color="auto" w:sz="4" w:space="0"/>
              <w:bottom w:val="single" w:color="auto" w:sz="4" w:space="0"/>
              <w:right w:val="single" w:color="auto" w:sz="4" w:space="0"/>
            </w:tcBorders>
            <w:noWrap w:val="0"/>
            <w:vAlign w:val="center"/>
          </w:tcPr>
          <w:p>
            <w:pPr>
              <w:pStyle w:val="5"/>
              <w:numPr>
                <w:ilvl w:val="0"/>
                <w:numId w:val="1"/>
              </w:numPr>
              <w:spacing w:line="320" w:lineRule="exac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符合以下情形的住房或住房份额，其面积纳入自有产权住房面积核定范围：</w:t>
            </w:r>
          </w:p>
          <w:p>
            <w:pPr>
              <w:pStyle w:val="5"/>
              <w:numPr>
                <w:ilvl w:val="0"/>
                <w:numId w:val="2"/>
              </w:numPr>
              <w:spacing w:line="320" w:lineRule="exac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宅基地建房和农民公寓住房；</w:t>
            </w:r>
          </w:p>
          <w:p>
            <w:pPr>
              <w:pStyle w:val="5"/>
              <w:numPr>
                <w:ilvl w:val="0"/>
                <w:numId w:val="2"/>
              </w:numPr>
              <w:spacing w:line="320" w:lineRule="exac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已办理预购商品房预告登记的房产；</w:t>
            </w:r>
          </w:p>
          <w:p>
            <w:pPr>
              <w:pStyle w:val="5"/>
              <w:numPr>
                <w:ilvl w:val="0"/>
                <w:numId w:val="2"/>
              </w:numPr>
              <w:spacing w:line="320" w:lineRule="exac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已实际取得但未办理产权登记的房产；</w:t>
            </w:r>
          </w:p>
          <w:p>
            <w:pPr>
              <w:pStyle w:val="5"/>
              <w:numPr>
                <w:ilvl w:val="0"/>
                <w:numId w:val="2"/>
              </w:numPr>
              <w:spacing w:line="320" w:lineRule="exac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已签订拆迁安置协议但未回迁的房产；</w:t>
            </w:r>
          </w:p>
          <w:p>
            <w:pPr>
              <w:pStyle w:val="5"/>
              <w:numPr>
                <w:ilvl w:val="0"/>
                <w:numId w:val="2"/>
              </w:numPr>
              <w:spacing w:line="320" w:lineRule="exac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其他实际取得的房产。</w:t>
            </w:r>
          </w:p>
          <w:p>
            <w:pPr>
              <w:pStyle w:val="5"/>
              <w:numPr>
                <w:ilvl w:val="0"/>
                <w:numId w:val="1"/>
              </w:numPr>
              <w:spacing w:line="320" w:lineRule="exac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申请人及其共同申请的家庭成员拥有唯一住房，且该住房经佛山市住建局备案的房屋安全鉴定机构鉴定为危险房屋，鉴定报告结论为“建议整体拆除”的，视为没有拥有房产。</w:t>
            </w:r>
          </w:p>
          <w:p>
            <w:pPr>
              <w:pStyle w:val="5"/>
              <w:numPr>
                <w:ilvl w:val="0"/>
                <w:numId w:val="1"/>
              </w:numPr>
              <w:spacing w:line="320" w:lineRule="exac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自行提交的收入证明与个税、社保不一致时，以高收入一方为准。</w:t>
            </w:r>
          </w:p>
          <w:p>
            <w:pPr>
              <w:pStyle w:val="5"/>
              <w:numPr>
                <w:ilvl w:val="0"/>
                <w:numId w:val="1"/>
              </w:numPr>
              <w:spacing w:line="320" w:lineRule="exac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具有劳动能力的失业（领取失业证的）、无业人员（不能提供有效的工作证明的）在重新就业前，其个人收入按上一年度佛山市企业职工最低工资标准计算。</w:t>
            </w:r>
          </w:p>
          <w:p>
            <w:pPr>
              <w:pStyle w:val="5"/>
              <w:numPr>
                <w:ilvl w:val="0"/>
                <w:numId w:val="1"/>
              </w:numPr>
              <w:spacing w:line="320" w:lineRule="exac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没有收入来源的残疾人或丧失劳动能力的申请人可分别凭残疾证或二级甲等以上医院出具的无劳动能力医疗诊断证明书，按个人无收入计算。被安置就业的残疾人，个人收入按实际收入计算。</w:t>
            </w:r>
          </w:p>
          <w:p>
            <w:pPr>
              <w:pStyle w:val="5"/>
              <w:spacing w:line="320" w:lineRule="exac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6.南海区户籍住房困难家庭中含有烈士遗属、因公殉职（牺牲）人员遗属、病故军人遗属、残疾军人（1至10级）、参战参核退役人员、退役军人、现役军人家属的，不受汽车、工商注册登记限制。</w:t>
            </w:r>
          </w:p>
        </w:tc>
      </w:tr>
    </w:tbl>
    <w:p>
      <w:pPr>
        <w:pStyle w:val="5"/>
        <w:jc w:val="center"/>
        <w:rPr>
          <w:rFonts w:hint="eastAsia" w:ascii="宋体" w:hAnsi="宋体" w:eastAsia="方正小标宋简体" w:cs="方正小标宋简体"/>
          <w:color w:val="000000"/>
          <w:sz w:val="13"/>
          <w:szCs w:val="13"/>
        </w:rPr>
      </w:pPr>
      <w:r>
        <w:rPr>
          <w:rFonts w:hint="eastAsia" w:ascii="宋体" w:hAnsi="宋体" w:eastAsia="方正小标宋简体" w:cs="方正小标宋简体"/>
          <w:color w:val="000000"/>
          <w:sz w:val="32"/>
          <w:szCs w:val="32"/>
        </w:rPr>
        <w:t>申请人家庭资产审核内容</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pStyle w:val="5"/>
              <w:jc w:val="center"/>
              <w:rPr>
                <w:rFonts w:hint="eastAsia" w:ascii="宋体" w:hAnsi="宋体" w:eastAsia="方正小标宋简体" w:cs="方正小标宋简体"/>
                <w:color w:val="000000"/>
                <w:sz w:val="13"/>
                <w:szCs w:val="13"/>
              </w:rPr>
            </w:pPr>
            <w:r>
              <w:rPr>
                <w:rFonts w:hint="eastAsia" w:ascii="宋体" w:hAnsi="宋体" w:eastAsia="仿宋_GB2312" w:cs="仿宋_GB2312"/>
                <w:color w:val="000000"/>
                <w:sz w:val="24"/>
                <w:szCs w:val="24"/>
              </w:rPr>
              <w:t>土地房产</w:t>
            </w:r>
          </w:p>
        </w:tc>
        <w:tc>
          <w:tcPr>
            <w:tcW w:w="7770" w:type="dxa"/>
            <w:noWrap w:val="0"/>
            <w:vAlign w:val="top"/>
          </w:tcPr>
          <w:p>
            <w:pPr>
              <w:pStyle w:val="5"/>
              <w:rPr>
                <w:rFonts w:hint="eastAsia" w:ascii="宋体" w:hAnsi="宋体" w:eastAsia="方正小标宋简体" w:cs="方正小标宋简体"/>
                <w:color w:val="000000"/>
                <w:sz w:val="13"/>
                <w:szCs w:val="13"/>
              </w:rPr>
            </w:pPr>
            <w:r>
              <w:rPr>
                <w:rFonts w:hint="eastAsia" w:ascii="宋体" w:hAnsi="宋体" w:eastAsia="仿宋_GB2312" w:cs="仿宋_GB2312"/>
                <w:color w:val="000000"/>
                <w:kern w:val="0"/>
                <w:sz w:val="24"/>
                <w:szCs w:val="24"/>
              </w:rPr>
              <w:t>现自有的房产——佛山市内住宅、商业物业及停车位，按租赁合同租金或市场租金作为家庭收入计算。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pStyle w:val="5"/>
              <w:adjustRightInd w:val="0"/>
              <w:snapToGrid w:val="0"/>
              <w:spacing w:line="400" w:lineRule="exact"/>
              <w:jc w:val="center"/>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汽车</w:t>
            </w:r>
          </w:p>
        </w:tc>
        <w:tc>
          <w:tcPr>
            <w:tcW w:w="7770" w:type="dxa"/>
            <w:noWrap w:val="0"/>
            <w:vAlign w:val="center"/>
          </w:tcPr>
          <w:p>
            <w:pPr>
              <w:pStyle w:val="5"/>
              <w:adjustRightInd w:val="0"/>
              <w:snapToGrid w:val="0"/>
              <w:spacing w:line="400" w:lineRule="exact"/>
              <w:jc w:val="left"/>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自有汽车</w:t>
            </w:r>
            <w:r>
              <w:rPr>
                <w:rFonts w:hint="eastAsia" w:ascii="宋体" w:hAnsi="宋体" w:eastAsia="仿宋_GB2312" w:cs="仿宋_GB2312"/>
                <w:color w:val="000000"/>
                <w:kern w:val="0"/>
                <w:sz w:val="24"/>
                <w:szCs w:val="24"/>
              </w:rPr>
              <w:t>价值以购车发票为准（每年折旧率为8%，无购车发票的应提供有资质评估机构的车辆评估报告）。</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81F03"/>
    <w:multiLevelType w:val="singleLevel"/>
    <w:tmpl w:val="5EE81F03"/>
    <w:lvl w:ilvl="0" w:tentative="0">
      <w:start w:val="1"/>
      <w:numFmt w:val="decimal"/>
      <w:suff w:val="nothing"/>
      <w:lvlText w:val="%1."/>
      <w:lvlJc w:val="left"/>
    </w:lvl>
  </w:abstractNum>
  <w:abstractNum w:abstractNumId="1">
    <w:nsid w:val="5EE8200E"/>
    <w:multiLevelType w:val="singleLevel"/>
    <w:tmpl w:val="5EE8200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47190"/>
    <w:rsid w:val="47A47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正文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2020-10-28T07:50:00Z</dcterms:created>
  <dc:creator>Administrator</dc:creator>
  <cp:lastModifiedBy>Administrator</cp:lastModifiedBy>
  <dcterms:modified xsi:type="dcterms:W3CDTF">2020-10-28T07:52:48Z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