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09" w:tblpY="19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4"/>
        <w:gridCol w:w="940"/>
        <w:gridCol w:w="1080"/>
        <w:gridCol w:w="750"/>
        <w:gridCol w:w="8580"/>
        <w:gridCol w:w="93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14420" w:type="dxa"/>
            <w:gridSpan w:val="7"/>
            <w:tcBorders>
              <w:top w:val="nil"/>
              <w:left w:val="nil"/>
              <w:bottom w:val="nil"/>
              <w:right w:val="nil"/>
              <w:tl2br w:val="nil"/>
              <w:tr2bl w:val="nil"/>
            </w:tcBorders>
            <w:noWrap w:val="0"/>
            <w:vAlign w:val="center"/>
          </w:tcPr>
          <w:p>
            <w:pPr>
              <w:pStyle w:val="2"/>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p>
          <w:p>
            <w:pPr>
              <w:widowControl/>
              <w:spacing w:beforeLines="0" w:afterLines="0"/>
              <w:jc w:val="center"/>
              <w:textAlignment w:val="center"/>
              <w:rPr>
                <w:rFonts w:hint="eastAsia" w:ascii="仿宋" w:hAnsi="仿宋" w:eastAsia="仿宋" w:cs="仿宋"/>
                <w:b/>
                <w:color w:val="auto"/>
                <w:sz w:val="36"/>
              </w:rPr>
            </w:pPr>
            <w:bookmarkStart w:id="0" w:name="_GoBack"/>
            <w:r>
              <w:rPr>
                <w:rFonts w:hint="eastAsia" w:ascii="仿宋" w:hAnsi="仿宋" w:eastAsia="仿宋" w:cs="仿宋"/>
                <w:b/>
                <w:color w:val="auto"/>
                <w:kern w:val="0"/>
                <w:sz w:val="36"/>
              </w:rPr>
              <w:t>佛山市南海区建筑业先进企业(施工)评分表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14420" w:type="dxa"/>
            <w:gridSpan w:val="7"/>
            <w:tcBorders>
              <w:top w:val="nil"/>
              <w:left w:val="nil"/>
              <w:bottom w:val="nil"/>
              <w:right w:val="nil"/>
              <w:tl2br w:val="nil"/>
              <w:tr2bl w:val="nil"/>
            </w:tcBorders>
            <w:noWrap w:val="0"/>
            <w:vAlign w:val="center"/>
          </w:tcPr>
          <w:p>
            <w:pPr>
              <w:widowControl/>
              <w:spacing w:beforeLines="0" w:afterLines="0"/>
              <w:jc w:val="left"/>
              <w:textAlignment w:val="center"/>
              <w:rPr>
                <w:rFonts w:hint="eastAsia" w:ascii="仿宋" w:hAnsi="仿宋" w:eastAsia="仿宋" w:cs="仿宋"/>
                <w:b/>
                <w:color w:val="auto"/>
                <w:sz w:val="24"/>
              </w:rPr>
            </w:pPr>
            <w:r>
              <w:rPr>
                <w:rFonts w:hint="eastAsia" w:ascii="仿宋" w:hAnsi="仿宋" w:eastAsia="仿宋" w:cs="仿宋"/>
                <w:b/>
                <w:color w:val="auto"/>
                <w:kern w:val="0"/>
                <w:sz w:val="24"/>
              </w:rPr>
              <w:t xml:space="preserve">评选单位：                                             得分：               评分专家签名：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b/>
                <w:color w:val="auto"/>
                <w:sz w:val="22"/>
              </w:rPr>
            </w:pPr>
            <w:r>
              <w:rPr>
                <w:rFonts w:hint="eastAsia" w:ascii="仿宋" w:hAnsi="仿宋" w:eastAsia="仿宋" w:cs="仿宋"/>
                <w:b/>
                <w:color w:val="auto"/>
                <w:kern w:val="0"/>
                <w:sz w:val="22"/>
              </w:rPr>
              <w:t>序号</w:t>
            </w: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b/>
                <w:color w:val="auto"/>
                <w:sz w:val="22"/>
              </w:rPr>
            </w:pPr>
            <w:r>
              <w:rPr>
                <w:rFonts w:hint="eastAsia" w:ascii="仿宋" w:hAnsi="仿宋" w:eastAsia="仿宋" w:cs="仿宋"/>
                <w:b/>
                <w:color w:val="auto"/>
                <w:kern w:val="0"/>
                <w:sz w:val="22"/>
              </w:rPr>
              <w:t>评价项目</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b/>
                <w:color w:val="auto"/>
                <w:sz w:val="22"/>
              </w:rPr>
            </w:pPr>
            <w:r>
              <w:rPr>
                <w:rFonts w:hint="eastAsia" w:ascii="仿宋" w:hAnsi="仿宋" w:eastAsia="仿宋" w:cs="仿宋"/>
                <w:b/>
                <w:color w:val="auto"/>
                <w:kern w:val="0"/>
                <w:sz w:val="22"/>
              </w:rPr>
              <w:t>评价指标</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b/>
                <w:color w:val="auto"/>
                <w:sz w:val="22"/>
              </w:rPr>
            </w:pPr>
            <w:r>
              <w:rPr>
                <w:rFonts w:hint="eastAsia" w:ascii="仿宋" w:hAnsi="仿宋" w:eastAsia="仿宋" w:cs="仿宋"/>
                <w:b/>
                <w:color w:val="auto"/>
                <w:kern w:val="0"/>
                <w:sz w:val="22"/>
              </w:rPr>
              <w:t>标准分</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b/>
                <w:color w:val="auto"/>
                <w:sz w:val="22"/>
              </w:rPr>
            </w:pPr>
            <w:r>
              <w:rPr>
                <w:rFonts w:hint="eastAsia" w:ascii="仿宋" w:hAnsi="仿宋" w:eastAsia="仿宋" w:cs="仿宋"/>
                <w:b/>
                <w:color w:val="auto"/>
                <w:kern w:val="0"/>
                <w:sz w:val="22"/>
              </w:rPr>
              <w:t>评分标准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b/>
                <w:color w:val="auto"/>
                <w:sz w:val="22"/>
              </w:rPr>
            </w:pPr>
            <w:r>
              <w:rPr>
                <w:rFonts w:hint="eastAsia" w:ascii="仿宋" w:hAnsi="仿宋" w:eastAsia="仿宋" w:cs="仿宋"/>
                <w:b/>
                <w:color w:val="auto"/>
                <w:kern w:val="0"/>
                <w:sz w:val="22"/>
              </w:rPr>
              <w:t>评审得分</w:t>
            </w: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b/>
                <w:color w:val="auto"/>
                <w:sz w:val="22"/>
              </w:rPr>
            </w:pPr>
            <w:r>
              <w:rPr>
                <w:rFonts w:hint="eastAsia" w:ascii="仿宋" w:hAnsi="仿宋" w:eastAsia="仿宋" w:cs="仿宋"/>
                <w:b/>
                <w:color w:val="auto"/>
                <w:kern w:val="0"/>
                <w:sz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w:t>
            </w:r>
          </w:p>
        </w:tc>
        <w:tc>
          <w:tcPr>
            <w:tcW w:w="9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企业规模</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5.0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资质等级</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3.0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具备一项总承包资质的得基准分1分；每增加一项总承包资质的得1分，每增加一项其它专业资质的得0.5分。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以企业资质证书为准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2</w:t>
            </w: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净资产</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2.0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上一年度净资产达到最高资质规定标准的得1.0分；每增加资质规定标准50%的再加0.5分。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以企业年度财务报告或统计报表、税局开具的纳税证明为准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4"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3</w:t>
            </w: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经济效益</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10.0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纳税额度</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10.0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企业在本辖区内上一年度缴纳税收达人民币300万元以下的得5分；达人民币300万元以上的得8分；每增加人民币100万元的加1分，最高得10分。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4</w:t>
            </w:r>
          </w:p>
        </w:tc>
        <w:tc>
          <w:tcPr>
            <w:tcW w:w="9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技术能力</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6.0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技术人员</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3.0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技术人员数量符合现行的资质规定要求的得3分，不符合的不得分。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5</w:t>
            </w: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技术进步</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3.0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在本辖区内承建的项目施工过程中使用了建筑业10项新技术、新材料、新工艺的得1分，每取得一项国家级、省级以及市级技术标准、科学技术进步奖、技术中心、科技示范工程、QC成果、工法等的，分别得0.5分，最高得3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以相关部门颁发给企业的证明材料为准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6</w:t>
            </w:r>
          </w:p>
        </w:tc>
        <w:tc>
          <w:tcPr>
            <w:tcW w:w="9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经营能力</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3.0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净资产收</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益率</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2.0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本项基准分1.0分；净资产收益率超过15%后每增加1个百分点的再加0.2分；低于10%后每减少1个百分点的扣0.2分。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nil"/>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以企业年度财务报告或统计报表为准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7</w:t>
            </w: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资产负债率</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1.0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本项基准分0.5分；资产负债率低于60%后每减少5个百分点的再加0.1分；高于60%后每增加5个百分点的扣0.1分。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以企业提供的相关证明材料为准</w:t>
            </w: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ind w:left="0" w:leftChars="0" w:firstLine="0" w:firstLineChars="0"/>
              <w:rPr>
                <w:rFonts w:hint="eastAsia" w:ascii="仿宋" w:hAnsi="仿宋" w:eastAsia="仿宋" w:cs="仿宋"/>
                <w:lang w:eastAsia="zh-CN"/>
              </w:rPr>
            </w:pPr>
            <w:r>
              <w:rPr>
                <w:rFonts w:hint="eastAsia" w:ascii="仿宋" w:hAnsi="仿宋" w:eastAsia="仿宋" w:cs="仿宋"/>
                <w:color w:val="auto"/>
                <w:kern w:val="0"/>
                <w:sz w:val="21"/>
                <w:lang w:eastAsia="zh-CN"/>
              </w:rPr>
              <w:t>提供人脸识别系统资料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8"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8</w:t>
            </w:r>
          </w:p>
        </w:tc>
        <w:tc>
          <w:tcPr>
            <w:tcW w:w="9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企业管理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10.0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规章制度</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5.0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建立完善、有针对性的组织机构、岗位责任制、人员管理、合同管理、机械设备管理、材料管理、档案管理、工程质量管理、安全生产管理、文明施工管理、职业病危害管理、廉政管理、财务管理以及工程款结算和工资支付等制度的，按比例得分，最高得5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9</w:t>
            </w: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管理体系</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3.0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通过质量、环境、职业健康安全体系认证的，通过其中一个体系认证的得1分，最高得3分。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10</w:t>
            </w: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信息化管理</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2.0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在建工程施工现场使用用工实名制信息化管理系统的，得2分。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lang w:eastAsia="zh-CN"/>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11</w:t>
            </w:r>
          </w:p>
        </w:tc>
        <w:tc>
          <w:tcPr>
            <w:tcW w:w="9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质量安全</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管理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20.0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质量管理</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行为</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8.0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质量管理制度制订有针对性并落实执行的，得8分。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以企业提供的相关证明材料为准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12</w:t>
            </w: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安全文明施工管理行为</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8.0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安全文明施工管理制度制订有针对性并落实执行的，得8分。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13</w:t>
            </w: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应急预案</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4.0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质量安全事故应急救援预案制订有针对性并落实执行的，得</w:t>
            </w:r>
            <w:r>
              <w:rPr>
                <w:rFonts w:hint="eastAsia" w:ascii="仿宋" w:hAnsi="仿宋" w:eastAsia="仿宋" w:cs="仿宋"/>
                <w:color w:val="auto"/>
                <w:kern w:val="0"/>
                <w:sz w:val="21"/>
                <w:lang w:val="en-US" w:eastAsia="zh-CN"/>
              </w:rPr>
              <w:t>4</w:t>
            </w:r>
            <w:r>
              <w:rPr>
                <w:rFonts w:hint="eastAsia" w:ascii="仿宋" w:hAnsi="仿宋" w:eastAsia="仿宋" w:cs="仿宋"/>
                <w:color w:val="auto"/>
                <w:kern w:val="0"/>
                <w:sz w:val="21"/>
              </w:rPr>
              <w:t>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14</w:t>
            </w:r>
          </w:p>
        </w:tc>
        <w:tc>
          <w:tcPr>
            <w:tcW w:w="9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市场行为</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10.0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合同履行</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 xml:space="preserve">5.0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合法经营，无受过行政主管部门处罚的得基准分4分；获得工商管理部门颁发的“守合同重信用企业”称号的：连续4年至6年的加0.5分，连续7年至9年的加1分，最高得5分。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0"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15</w:t>
            </w: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各类表彰</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 xml:space="preserve">5.0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符合下列标准的，按分值得分，本项最高得5分：</w:t>
            </w:r>
          </w:p>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1、获得过区级以上建设行政主管部门各类表彰的得5分；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2、获得市级以上建筑业协会、市政协会、园林协会等各类表彰的得3分；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3、协助过本协会承办各类演练、观摩的得3分；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4、参加过本协会举办的各类比赛的得1分。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以企业或协会提供的相关证明为准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16</w:t>
            </w: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信用评价</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15.0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诚信管理</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15.0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在佛山市建筑行业诚信管理平台最新考评年度考评等级为B级以上的得基准分10分；考评等级为A级的再加5分，最高得15分。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以佛山市建筑行业诚信管理平台数据为准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17</w:t>
            </w:r>
          </w:p>
        </w:tc>
        <w:tc>
          <w:tcPr>
            <w:tcW w:w="9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业绩</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10.0</w:t>
            </w: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合同金额</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或中标项</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（最高得10分）</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10.0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符合下列标准之一的，可得10分：</w:t>
            </w:r>
          </w:p>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1、201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年承建的房屋建筑工程或市政工程项目，单项合同额达人民币5000万元以上的；</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2、201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年承建的安装工程、装饰装修工程、园林绿化工程，单项合同额达人民币2000万元以上的；</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3、201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年累计承接的工程合同额达到人民币1亿元以上的。</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提供施工许可证或中标通知书（中标通知书必须是由工程当地集中交易机构或招标投标管理部门核发方为有效）及施工合同的复印件相关页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5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5.0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符合下列标准之一的，可得5分：</w:t>
            </w:r>
          </w:p>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1、201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年承建的房屋建筑工程或市政工程项目，单项合同额达人民币2000万元以上5000万元以下的；</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2、201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年承建的安装工程、装饰装修工程、园林绿化工程，单项合同额达人民币500万元以上2000万元以下的；</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3、201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年累计承接的工程合同额达到人民币8000万元以上的；</w:t>
            </w:r>
          </w:p>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4、201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年中标的工程项目3个以上的。</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trPr>
        <w:tc>
          <w:tcPr>
            <w:tcW w:w="5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9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3.0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符合下列标准之一的，可得3分：</w:t>
            </w:r>
          </w:p>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1、201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年承建的房屋建筑工程或市政工程项目，单项合同额达人民币2000万元以下的；</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2、201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年承建的安装工程、装饰装修工程、园林绿化工程，单项合同额达人民币500万元以下的；</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3、201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年累计承接的工程合同额达人民币5000万元以上的；</w:t>
            </w:r>
          </w:p>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4、201</w:t>
            </w:r>
            <w:r>
              <w:rPr>
                <w:rFonts w:hint="eastAsia" w:ascii="仿宋" w:hAnsi="仿宋" w:eastAsia="仿宋" w:cs="仿宋"/>
                <w:color w:val="auto"/>
                <w:kern w:val="0"/>
                <w:sz w:val="21"/>
                <w:lang w:val="en-US" w:eastAsia="zh-CN"/>
              </w:rPr>
              <w:t>9</w:t>
            </w:r>
            <w:r>
              <w:rPr>
                <w:rFonts w:hint="eastAsia" w:ascii="仿宋" w:hAnsi="仿宋" w:eastAsia="仿宋" w:cs="仿宋"/>
                <w:color w:val="auto"/>
                <w:kern w:val="0"/>
                <w:sz w:val="21"/>
              </w:rPr>
              <w:t>年中标的工程项目</w:t>
            </w:r>
            <w:r>
              <w:rPr>
                <w:rFonts w:hint="eastAsia" w:ascii="仿宋" w:hAnsi="仿宋" w:eastAsia="仿宋" w:cs="仿宋"/>
                <w:color w:val="auto"/>
                <w:kern w:val="0"/>
                <w:sz w:val="21"/>
                <w:lang w:val="en-US" w:eastAsia="zh-CN"/>
              </w:rPr>
              <w:t>1-3个</w:t>
            </w:r>
            <w:r>
              <w:rPr>
                <w:rFonts w:hint="eastAsia" w:ascii="仿宋" w:hAnsi="仿宋" w:eastAsia="仿宋" w:cs="仿宋"/>
                <w:color w:val="auto"/>
                <w:kern w:val="0"/>
                <w:sz w:val="21"/>
              </w:rPr>
              <w:t>。</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8"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18</w:t>
            </w: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企业发展</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5.0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企业资质</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升级</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5.0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符合下列标准的，按分值得分，最高得5分：</w:t>
            </w:r>
          </w:p>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1、总承包施工单位资质升级的得5分；专业承包单位资质升级的得3分；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2、在本辖区内报建项目获得省级及以上建筑类奖励的得5分；获得市级建筑类奖励的得3分。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以企业提供的相关证明材料为准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19</w:t>
            </w: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社会行为</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6.0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社会服务</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6.0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1、参加过抗震、救灾等工作的得3分。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2、参加过本协会组织的捐赠帮扶等慈善活动的得3分。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以企业或协会提供的相关证明材料为准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20</w:t>
            </w: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加分项</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10.0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kern w:val="0"/>
                <w:sz w:val="21"/>
              </w:rPr>
            </w:pPr>
            <w:r>
              <w:rPr>
                <w:rFonts w:hint="eastAsia" w:ascii="仿宋" w:hAnsi="仿宋" w:eastAsia="仿宋" w:cs="仿宋"/>
                <w:color w:val="auto"/>
                <w:kern w:val="0"/>
                <w:sz w:val="21"/>
              </w:rPr>
              <w:t>支持协会</w:t>
            </w:r>
          </w:p>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工作</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color w:val="auto"/>
                <w:kern w:val="0"/>
                <w:sz w:val="21"/>
              </w:rPr>
              <w:t xml:space="preserve">10.0 </w:t>
            </w: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21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1、在本协会按时缴交会费，无拖欠会费的加2分；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2、在本协会中担任副会长（含副会长）以上的加2分；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3、积极参加本协会发动、号召及组织的各类活动或主动配合、帮助本协会完成年度各项工作的加3分；</w:t>
            </w:r>
            <w:r>
              <w:rPr>
                <w:rFonts w:hint="eastAsia" w:ascii="仿宋" w:hAnsi="仿宋" w:eastAsia="仿宋" w:cs="仿宋"/>
                <w:color w:val="auto"/>
                <w:kern w:val="0"/>
                <w:sz w:val="21"/>
              </w:rPr>
              <w:br w:type="textWrapping"/>
            </w:r>
            <w:r>
              <w:rPr>
                <w:rFonts w:hint="eastAsia" w:ascii="仿宋" w:hAnsi="仿宋" w:eastAsia="仿宋" w:cs="仿宋"/>
                <w:color w:val="auto"/>
                <w:kern w:val="0"/>
                <w:sz w:val="21"/>
              </w:rPr>
              <w:t>4、积极为本协会的发展和运作建言或出谋划策的加3分。</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left"/>
              <w:textAlignment w:val="center"/>
              <w:rPr>
                <w:rFonts w:hint="eastAsia" w:ascii="仿宋" w:hAnsi="仿宋" w:eastAsia="仿宋" w:cs="仿宋"/>
                <w:color w:val="auto"/>
                <w:sz w:val="21"/>
              </w:rPr>
            </w:pPr>
            <w:r>
              <w:rPr>
                <w:rFonts w:hint="eastAsia" w:ascii="仿宋" w:hAnsi="仿宋" w:eastAsia="仿宋" w:cs="仿宋"/>
                <w:color w:val="auto"/>
                <w:kern w:val="0"/>
                <w:sz w:val="21"/>
              </w:rPr>
              <w:t>以企业或协会提供的相关证明材料为准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textAlignment w:val="center"/>
              <w:rPr>
                <w:rFonts w:hint="eastAsia" w:ascii="仿宋" w:hAnsi="仿宋" w:eastAsia="仿宋" w:cs="仿宋"/>
                <w:color w:val="auto"/>
                <w:sz w:val="21"/>
              </w:rPr>
            </w:pPr>
            <w:r>
              <w:rPr>
                <w:rFonts w:hint="eastAsia" w:ascii="仿宋" w:hAnsi="仿宋" w:eastAsia="仿宋" w:cs="仿宋"/>
                <w:b/>
                <w:color w:val="auto"/>
                <w:kern w:val="0"/>
                <w:sz w:val="21"/>
              </w:rPr>
              <w:t>汇总</w:t>
            </w:r>
          </w:p>
        </w:tc>
        <w:tc>
          <w:tcPr>
            <w:tcW w:w="9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85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rPr>
                <w:rFonts w:hint="eastAsia" w:ascii="仿宋" w:hAnsi="仿宋" w:eastAsia="仿宋" w:cs="仿宋"/>
                <w:color w:val="auto"/>
                <w:sz w:val="21"/>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c>
          <w:tcPr>
            <w:tcW w:w="1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60" w:lineRule="exact"/>
              <w:jc w:val="center"/>
              <w:rPr>
                <w:rFonts w:hint="eastAsia" w:ascii="仿宋" w:hAnsi="仿宋" w:eastAsia="仿宋" w:cs="仿宋"/>
                <w:color w:val="auto"/>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0" w:hRule="atLeast"/>
        </w:trPr>
        <w:tc>
          <w:tcPr>
            <w:tcW w:w="14420" w:type="dxa"/>
            <w:gridSpan w:val="7"/>
            <w:tcBorders>
              <w:top w:val="nil"/>
              <w:left w:val="nil"/>
              <w:bottom w:val="nil"/>
              <w:right w:val="nil"/>
              <w:tl2br w:val="nil"/>
              <w:tr2bl w:val="nil"/>
            </w:tcBorders>
            <w:noWrap w:val="0"/>
            <w:vAlign w:val="center"/>
          </w:tcPr>
          <w:p>
            <w:pPr>
              <w:widowControl/>
              <w:spacing w:beforeLines="0" w:afterLines="0"/>
              <w:jc w:val="left"/>
              <w:textAlignment w:val="center"/>
              <w:rPr>
                <w:rFonts w:hint="eastAsia" w:ascii="仿宋" w:hAnsi="仿宋" w:eastAsia="仿宋" w:cs="仿宋"/>
                <w:color w:val="auto"/>
                <w:kern w:val="0"/>
                <w:sz w:val="22"/>
              </w:rPr>
            </w:pPr>
            <w:r>
              <w:rPr>
                <w:rFonts w:hint="eastAsia" w:ascii="仿宋" w:hAnsi="仿宋" w:eastAsia="仿宋" w:cs="仿宋"/>
                <w:color w:val="auto"/>
                <w:kern w:val="0"/>
                <w:sz w:val="22"/>
              </w:rPr>
              <w:t>注：1、各项评价指标未达到基本要求的不得分，每项最高得分不超过该项标准分，“以上”包含本数，“以下”不包含本数，最低得分为0分，不</w:t>
            </w:r>
          </w:p>
          <w:p>
            <w:pPr>
              <w:widowControl/>
              <w:spacing w:beforeLines="0" w:afterLines="0"/>
              <w:ind w:firstLine="838" w:firstLineChars="381"/>
              <w:jc w:val="left"/>
              <w:textAlignment w:val="center"/>
              <w:rPr>
                <w:rFonts w:hint="eastAsia" w:ascii="仿宋" w:hAnsi="仿宋" w:eastAsia="仿宋" w:cs="仿宋"/>
                <w:color w:val="auto"/>
                <w:sz w:val="22"/>
              </w:rPr>
            </w:pPr>
            <w:r>
              <w:rPr>
                <w:rFonts w:hint="eastAsia" w:ascii="仿宋" w:hAnsi="仿宋" w:eastAsia="仿宋" w:cs="仿宋"/>
                <w:color w:val="auto"/>
                <w:kern w:val="0"/>
                <w:sz w:val="22"/>
              </w:rPr>
              <w:t>出现负分。</w:t>
            </w:r>
            <w:r>
              <w:rPr>
                <w:rFonts w:hint="eastAsia" w:ascii="仿宋" w:hAnsi="仿宋" w:eastAsia="仿宋" w:cs="仿宋"/>
                <w:color w:val="auto"/>
                <w:kern w:val="0"/>
                <w:sz w:val="22"/>
              </w:rPr>
              <w:br w:type="textWrapping"/>
            </w:r>
            <w:r>
              <w:rPr>
                <w:rFonts w:hint="eastAsia" w:ascii="仿宋" w:hAnsi="仿宋" w:eastAsia="仿宋" w:cs="仿宋"/>
                <w:color w:val="auto"/>
                <w:kern w:val="0"/>
                <w:sz w:val="22"/>
              </w:rPr>
              <w:t xml:space="preserve">    2、项目实行实名制的，施工单位应提供实名制相关资料，市政单位应提供工人工资分账管理相关材料。</w:t>
            </w:r>
            <w:r>
              <w:rPr>
                <w:rFonts w:hint="eastAsia" w:ascii="仿宋" w:hAnsi="仿宋" w:eastAsia="仿宋" w:cs="仿宋"/>
                <w:color w:val="auto"/>
                <w:kern w:val="0"/>
                <w:sz w:val="22"/>
              </w:rPr>
              <w:br w:type="textWrapping"/>
            </w:r>
            <w:r>
              <w:rPr>
                <w:rFonts w:hint="eastAsia" w:ascii="仿宋" w:hAnsi="仿宋" w:eastAsia="仿宋" w:cs="仿宋"/>
                <w:color w:val="auto"/>
                <w:kern w:val="0"/>
                <w:sz w:val="22"/>
              </w:rPr>
              <w:t xml:space="preserve">    3、以上资料均提供复印件（加盖公章），相关原件现场核对后退回。</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361D4"/>
    <w:rsid w:val="7673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4"/>
      <w:lang w:val="en-US" w:eastAsia="zh-CN" w:bidi="ar"/>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2020-12-11T03:50:00Z</dcterms:created>
  <dc:creator>Administrator</dc:creator>
  <cp:lastModifiedBy>Administrator</cp:lastModifiedBy>
  <dcterms:modified xsi:type="dcterms:W3CDTF">2020-12-11T03:51:23Z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